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6B" w:rsidRPr="00301E8C" w:rsidRDefault="00301E8C" w:rsidP="00301E8C">
      <w:pPr>
        <w:pStyle w:val="ConsPlusNormal"/>
        <w:ind w:firstLine="709"/>
        <w:jc w:val="right"/>
        <w:rPr>
          <w:szCs w:val="28"/>
        </w:rPr>
      </w:pPr>
      <w:r w:rsidRPr="00301E8C">
        <w:rPr>
          <w:szCs w:val="28"/>
        </w:rPr>
        <w:t>ПРОЕКТ</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506A9D">
        <w:rPr>
          <w:rFonts w:eastAsia="Times New Roman" w:cs="Times New Roman"/>
          <w:b/>
          <w:szCs w:val="28"/>
          <w:lang w:eastAsia="ru-RU"/>
        </w:rPr>
        <w:t xml:space="preserve">НОВОГОЛЬСКОГО </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proofErr w:type="spellStart"/>
      <w:r w:rsidR="00506A9D">
        <w:rPr>
          <w:szCs w:val="28"/>
        </w:rPr>
        <w:t>Новогольского</w:t>
      </w:r>
      <w:proofErr w:type="spellEnd"/>
      <w:r w:rsidR="008A1CC1" w:rsidRPr="00301E8C">
        <w:rPr>
          <w:szCs w:val="28"/>
        </w:rPr>
        <w:t xml:space="preserve"> 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BB6107" w:rsidRPr="00301E8C">
        <w:rPr>
          <w:szCs w:val="28"/>
        </w:rPr>
        <w:t xml:space="preserve"> </w:t>
      </w:r>
      <w:proofErr w:type="spellStart"/>
      <w:r w:rsidR="00506A9D">
        <w:rPr>
          <w:szCs w:val="28"/>
        </w:rPr>
        <w:t>Новогольского</w:t>
      </w:r>
      <w:proofErr w:type="spellEnd"/>
      <w:r w:rsidR="00506A9D">
        <w:rPr>
          <w:szCs w:val="28"/>
        </w:rPr>
        <w:t xml:space="preserve"> </w:t>
      </w:r>
      <w:r w:rsidR="00BB6107" w:rsidRPr="00301E8C">
        <w:rPr>
          <w:szCs w:val="28"/>
        </w:rPr>
        <w:t xml:space="preserve"> 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t xml:space="preserve">2) в целях строительства временных или вспомогательных сооружений (включая ограждения, бытовки, навесы), складирования строительных и иных </w:t>
      </w:r>
      <w:r w:rsidRPr="00301E8C">
        <w:rPr>
          <w:szCs w:val="28"/>
        </w:rPr>
        <w:lastRenderedPageBreak/>
        <w:t>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proofErr w:type="spellStart"/>
      <w:r w:rsidR="00506A9D">
        <w:rPr>
          <w:szCs w:val="28"/>
        </w:rPr>
        <w:t>Новогольского</w:t>
      </w:r>
      <w:proofErr w:type="spellEnd"/>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r w:rsidR="00506A9D">
        <w:rPr>
          <w:szCs w:val="28"/>
        </w:rPr>
        <w:t>Новогольского</w:t>
      </w:r>
      <w:r w:rsidR="00C37F77" w:rsidRPr="00301E8C">
        <w:rPr>
          <w:szCs w:val="28"/>
        </w:rPr>
        <w:t xml:space="preserve"> сельского поселения</w:t>
      </w:r>
      <w:r w:rsidRPr="00301E8C">
        <w:rPr>
          <w:szCs w:val="28"/>
        </w:rPr>
        <w:t xml:space="preserve"> (</w:t>
      </w:r>
      <w:r w:rsidR="009A3F27" w:rsidRPr="009A3F27">
        <w:rPr>
          <w:szCs w:val="28"/>
        </w:rPr>
        <w:t>http://novogolskoe-grib.ru/</w:t>
      </w:r>
      <w:proofErr w:type="gramStart"/>
      <w:r w:rsidR="009A3F27" w:rsidRPr="009A3F27">
        <w:rPr>
          <w:szCs w:val="28"/>
        </w:rPr>
        <w:t xml:space="preserve">   </w:t>
      </w:r>
      <w:r w:rsidRPr="00301E8C">
        <w:rPr>
          <w:szCs w:val="28"/>
        </w:rPr>
        <w:t>)</w:t>
      </w:r>
      <w:proofErr w:type="gramEnd"/>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 на официальном сайте правительства Воронежской области в сети </w:t>
      </w:r>
      <w:r w:rsidRPr="00301E8C">
        <w:rPr>
          <w:szCs w:val="28"/>
        </w:rPr>
        <w:lastRenderedPageBreak/>
        <w:t>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w:t>
      </w:r>
      <w:r w:rsidRPr="00301E8C">
        <w:rPr>
          <w:szCs w:val="28"/>
        </w:rPr>
        <w:lastRenderedPageBreak/>
        <w:t>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proofErr w:type="spellStart"/>
      <w:r w:rsidR="009A3F27">
        <w:rPr>
          <w:szCs w:val="28"/>
        </w:rPr>
        <w:t>Новогольского</w:t>
      </w:r>
      <w:proofErr w:type="spellEnd"/>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w:t>
      </w:r>
      <w:r w:rsidR="00111C03" w:rsidRPr="00301E8C">
        <w:rPr>
          <w:szCs w:val="28"/>
        </w:rPr>
        <w:lastRenderedPageBreak/>
        <w:t xml:space="preserve">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w:t>
      </w:r>
      <w:r w:rsidRPr="00301E8C">
        <w:rPr>
          <w:szCs w:val="28"/>
        </w:rPr>
        <w:lastRenderedPageBreak/>
        <w:t>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 xml:space="preserve">Федеральным законом от 06.04.2011 N 63-ФЗ "Об электронной подписи" ("Собрание законодательства РФ", 11.04.2011, N 15, ст. 2036; "Парламентская </w:t>
      </w:r>
      <w:r w:rsidRPr="00301E8C">
        <w:rPr>
          <w:szCs w:val="28"/>
        </w:rPr>
        <w:lastRenderedPageBreak/>
        <w:t>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t>2.6.1.1.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lastRenderedPageBreak/>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lastRenderedPageBreak/>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Единого портала государственных и муниципальных услуг (функций) и (или) Портала Воронежской области в 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 xml:space="preserve">в) фамилия, имя и (при наличии) отчество представителя заявителя и реквизиты документа, подтверждающего его полномочия, - в случае если </w:t>
      </w:r>
      <w:r w:rsidRPr="00301E8C">
        <w:rPr>
          <w:szCs w:val="28"/>
        </w:rPr>
        <w:lastRenderedPageBreak/>
        <w:t>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 xml:space="preserve">Заявление в форме электронного документа представляется по выбору заявителя посредством отправки через личный кабинет на Едином портале </w:t>
      </w:r>
      <w:r w:rsidRPr="00301E8C">
        <w:rPr>
          <w:szCs w:val="28"/>
        </w:rPr>
        <w:lastRenderedPageBreak/>
        <w:t>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 xml:space="preserve">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w:t>
      </w:r>
      <w:r w:rsidRPr="00301E8C">
        <w:rPr>
          <w:szCs w:val="28"/>
        </w:rPr>
        <w:lastRenderedPageBreak/>
        <w:t>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301E8C">
        <w:rPr>
          <w:szCs w:val="28"/>
        </w:rPr>
        <w:lastRenderedPageBreak/>
        <w:t>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 xml:space="preserve">формой схемы расположения земельного участка или земельных участков на кадастровом плане территории, подготовка которой осуществляется в форме </w:t>
      </w:r>
      <w:r w:rsidRPr="00301E8C">
        <w:rPr>
          <w:szCs w:val="28"/>
        </w:rPr>
        <w:lastRenderedPageBreak/>
        <w:t>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lastRenderedPageBreak/>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t>Воронежской области, муниципальными правовыми актами</w:t>
      </w:r>
    </w:p>
    <w:p w:rsidR="0034176B" w:rsidRPr="00301E8C" w:rsidRDefault="009A3F27" w:rsidP="00301E8C">
      <w:pPr>
        <w:pStyle w:val="ConsPlusTitle"/>
        <w:ind w:firstLine="709"/>
        <w:jc w:val="center"/>
        <w:rPr>
          <w:szCs w:val="28"/>
        </w:rPr>
      </w:pPr>
      <w:proofErr w:type="spellStart"/>
      <w:r>
        <w:rPr>
          <w:szCs w:val="28"/>
        </w:rPr>
        <w:t>Новогольского</w:t>
      </w:r>
      <w:proofErr w:type="spellEnd"/>
      <w:r>
        <w:rPr>
          <w:szCs w:val="28"/>
        </w:rPr>
        <w:t xml:space="preserve"> </w:t>
      </w:r>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w:t>
      </w:r>
      <w:r w:rsidRPr="00301E8C">
        <w:rPr>
          <w:rFonts w:eastAsia="Times New Roman" w:cs="Times New Roman"/>
          <w:szCs w:val="28"/>
          <w:lang w:eastAsia="ru-RU"/>
        </w:rPr>
        <w:lastRenderedPageBreak/>
        <w:t>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lastRenderedPageBreak/>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xml:space="preserve">- полнота предоставления муниципальной услуги в соответствии с </w:t>
      </w:r>
      <w:r w:rsidRPr="00301E8C">
        <w:rPr>
          <w:szCs w:val="28"/>
        </w:rPr>
        <w:lastRenderedPageBreak/>
        <w:t>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lastRenderedPageBreak/>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w:t>
      </w:r>
      <w:r w:rsidRPr="00301E8C">
        <w:rPr>
          <w:szCs w:val="28"/>
        </w:rPr>
        <w:lastRenderedPageBreak/>
        <w:t>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 xml:space="preserve">Получение заявления и прилагаемых к нему документов подтверждается путем направления заявителю уведомления (в виде текстового сообщения), </w:t>
      </w:r>
      <w:r w:rsidRPr="00301E8C">
        <w:rPr>
          <w:szCs w:val="28"/>
        </w:rPr>
        <w:lastRenderedPageBreak/>
        <w:t>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w:t>
      </w:r>
      <w:r w:rsidRPr="00301E8C">
        <w:rPr>
          <w:szCs w:val="28"/>
        </w:rPr>
        <w:lastRenderedPageBreak/>
        <w:t xml:space="preserve">которого поступило заявление о выдаче разрешения, к собственности </w:t>
      </w:r>
      <w:proofErr w:type="spellStart"/>
      <w:r w:rsidR="009A3F27">
        <w:rPr>
          <w:szCs w:val="28"/>
        </w:rPr>
        <w:t>Новогольского</w:t>
      </w:r>
      <w:proofErr w:type="spellEnd"/>
      <w:r w:rsidR="009A3F27">
        <w:rPr>
          <w:szCs w:val="28"/>
        </w:rPr>
        <w:t xml:space="preserve"> </w:t>
      </w:r>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 xml:space="preserve">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w:t>
      </w:r>
      <w:r w:rsidRPr="00301E8C">
        <w:rPr>
          <w:szCs w:val="28"/>
        </w:rPr>
        <w:lastRenderedPageBreak/>
        <w:t>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3.5.1. Результат предоставления муниципальной услуги может быть 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 xml:space="preserve">3.6.2. Заявитель вправе получать сведения о ходе предоставления муниципальной услуги в электронной форме с использованием сервисов </w:t>
      </w:r>
      <w:r w:rsidRPr="00301E8C">
        <w:rPr>
          <w:szCs w:val="28"/>
        </w:rPr>
        <w:lastRenderedPageBreak/>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301E8C">
        <w:rPr>
          <w:rFonts w:eastAsia="Times New Roman" w:cs="Times New Roman"/>
          <w:szCs w:val="28"/>
          <w:lang w:eastAsia="ru-RU"/>
        </w:rPr>
        <w:lastRenderedPageBreak/>
        <w:t>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 xml:space="preserve">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w:t>
      </w:r>
      <w:r w:rsidRPr="00301E8C">
        <w:rPr>
          <w:rFonts w:eastAsia="Times New Roman" w:cs="Times New Roman"/>
          <w:szCs w:val="28"/>
          <w:lang w:eastAsia="ru-RU"/>
        </w:rPr>
        <w:lastRenderedPageBreak/>
        <w:t>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w:t>
      </w:r>
      <w:r w:rsidRPr="00301E8C">
        <w:rPr>
          <w:rFonts w:eastAsia="Times New Roman" w:cs="Times New Roman"/>
          <w:szCs w:val="28"/>
          <w:lang w:eastAsia="ru-RU"/>
        </w:rPr>
        <w:lastRenderedPageBreak/>
        <w:t>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w:t>
      </w:r>
      <w:r w:rsidRPr="00301E8C">
        <w:rPr>
          <w:rFonts w:eastAsia="Times New Roman" w:cs="Times New Roman"/>
          <w:szCs w:val="28"/>
          <w:lang w:eastAsia="ru-RU"/>
        </w:rPr>
        <w:lastRenderedPageBreak/>
        <w:t>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proofErr w:type="spellStart"/>
      <w:r w:rsidR="009A3F27">
        <w:rPr>
          <w:rFonts w:eastAsia="Times New Roman" w:cs="Times New Roman"/>
          <w:szCs w:val="28"/>
          <w:lang w:eastAsia="ru-RU"/>
        </w:rPr>
        <w:t>Новогольского</w:t>
      </w:r>
      <w:proofErr w:type="spellEnd"/>
      <w:r w:rsidR="009A3F27">
        <w:rPr>
          <w:rFonts w:eastAsia="Times New Roman" w:cs="Times New Roman"/>
          <w:szCs w:val="28"/>
          <w:lang w:eastAsia="ru-RU"/>
        </w:rPr>
        <w:t xml:space="preserve"> </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w:t>
      </w:r>
      <w:r w:rsidRPr="00301E8C">
        <w:rPr>
          <w:rFonts w:eastAsia="Times New Roman" w:cs="Times New Roman"/>
          <w:szCs w:val="28"/>
          <w:lang w:eastAsia="ru-RU"/>
        </w:rPr>
        <w:lastRenderedPageBreak/>
        <w:t>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 xml:space="preserve">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w:t>
      </w:r>
      <w:r w:rsidRPr="00301E8C">
        <w:rPr>
          <w:rFonts w:eastAsia="Calibri" w:cs="Times New Roman"/>
          <w:szCs w:val="28"/>
        </w:rPr>
        <w:lastRenderedPageBreak/>
        <w:t>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proofErr w:type="spellStart"/>
      <w:r w:rsidR="009A3F27">
        <w:rPr>
          <w:rFonts w:eastAsia="Calibri" w:cs="Times New Roman"/>
          <w:szCs w:val="28"/>
        </w:rPr>
        <w:t>Новогольского</w:t>
      </w:r>
      <w:proofErr w:type="spellEnd"/>
      <w:r w:rsidR="009A3F27">
        <w:rPr>
          <w:rFonts w:eastAsia="Calibri" w:cs="Times New Roman"/>
          <w:szCs w:val="28"/>
        </w:rPr>
        <w:t xml:space="preserve"> </w:t>
      </w:r>
      <w:r w:rsidRPr="00301E8C">
        <w:rPr>
          <w:rFonts w:eastAsia="Calibri" w:cs="Times New Roman"/>
          <w:szCs w:val="28"/>
        </w:rPr>
        <w:t xml:space="preserve">сельского поселения Грибановского муниципального района Воронежской области (далее - администрация): </w:t>
      </w:r>
      <w:r w:rsidR="009A3F27">
        <w:rPr>
          <w:rFonts w:eastAsia="Calibri" w:cs="Times New Roman"/>
          <w:szCs w:val="28"/>
        </w:rPr>
        <w:t>397228</w:t>
      </w:r>
      <w:r w:rsidRPr="00301E8C">
        <w:rPr>
          <w:rFonts w:eastAsia="Calibri" w:cs="Times New Roman"/>
          <w:szCs w:val="28"/>
        </w:rPr>
        <w:t xml:space="preserve"> Воронежская область, Грибановский район, с. </w:t>
      </w:r>
      <w:r w:rsidR="009A3F27">
        <w:rPr>
          <w:rFonts w:eastAsia="Calibri" w:cs="Times New Roman"/>
          <w:szCs w:val="28"/>
        </w:rPr>
        <w:t>Новогольское</w:t>
      </w:r>
      <w:r w:rsidRPr="00301E8C">
        <w:rPr>
          <w:rFonts w:eastAsia="Calibri" w:cs="Times New Roman"/>
          <w:szCs w:val="28"/>
        </w:rPr>
        <w:t xml:space="preserve">, ул. </w:t>
      </w:r>
      <w:r w:rsidR="009A3F27">
        <w:rPr>
          <w:rFonts w:eastAsia="Calibri" w:cs="Times New Roman"/>
          <w:szCs w:val="28"/>
        </w:rPr>
        <w:t>Советская</w:t>
      </w:r>
      <w:r w:rsidRPr="00301E8C">
        <w:rPr>
          <w:rFonts w:eastAsia="Calibri" w:cs="Times New Roman"/>
          <w:szCs w:val="28"/>
        </w:rPr>
        <w:t>,</w:t>
      </w:r>
      <w:r w:rsidR="009A3F27">
        <w:rPr>
          <w:rFonts w:eastAsia="Calibri" w:cs="Times New Roman"/>
          <w:szCs w:val="28"/>
        </w:rPr>
        <w:t>69</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Телефоны для справок: (47348) </w:t>
      </w:r>
      <w:r w:rsidR="009A3F27">
        <w:rPr>
          <w:rFonts w:eastAsia="Calibri" w:cs="Times New Roman"/>
          <w:szCs w:val="28"/>
        </w:rPr>
        <w:t>33-5-35</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r w:rsidR="00D92390" w:rsidRPr="00D92390">
        <w:rPr>
          <w:rFonts w:eastAsia="Calibri" w:cs="Times New Roman"/>
          <w:szCs w:val="28"/>
        </w:rPr>
        <w:t xml:space="preserve">http://novogolskoe-grib.ru/   </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hyperlink r:id="rId7" w:history="1">
        <w:r w:rsidR="00A83AB5" w:rsidRPr="00A83AB5">
          <w:rPr>
            <w:rStyle w:val="a5"/>
            <w:bCs/>
            <w:color w:val="000000"/>
            <w:szCs w:val="28"/>
          </w:rPr>
          <w:t>newgol.grib@govvrn.ru</w:t>
        </w:r>
      </w:hyperlink>
      <w:r w:rsidR="00A83AB5">
        <w:rPr>
          <w:b/>
          <w:bCs/>
          <w:color w:val="000000"/>
          <w:szCs w:val="28"/>
        </w:rPr>
        <w:t xml:space="preserve">  </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proofErr w:type="spellStart"/>
      <w:r w:rsidR="00EC1F18">
        <w:rPr>
          <w:szCs w:val="28"/>
        </w:rPr>
        <w:t>Новогольского</w:t>
      </w:r>
      <w:proofErr w:type="spellEnd"/>
      <w:r w:rsidR="00EC1F18">
        <w:rPr>
          <w:szCs w:val="28"/>
        </w:rPr>
        <w:t xml:space="preserve"> </w:t>
      </w:r>
      <w:r w:rsidR="003E33E1" w:rsidRPr="00301E8C">
        <w:rPr>
          <w:szCs w:val="28"/>
        </w:rPr>
        <w:t>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3" w:name="P712"/>
      <w:bookmarkEnd w:id="13"/>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"___"____________ ____ г.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lastRenderedPageBreak/>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0C58ADC3" wp14:editId="410ED414">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9A3F27" w:rsidRPr="0049776F" w:rsidRDefault="009A3F27"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9A3F27" w:rsidRPr="0049776F" w:rsidRDefault="009A3F27"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70EACC9E" wp14:editId="7AB8C2EE">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1D1B1621" wp14:editId="332CB89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55B2796E" wp14:editId="3AE9657A">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26E6BE1B" wp14:editId="7D17E1E7">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184261CB" wp14:editId="45AE5A6C">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29D16673" wp14:editId="61541920">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9A3F27" w:rsidRPr="00096697" w:rsidRDefault="009A3F27"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9A3F27" w:rsidRPr="00096697" w:rsidRDefault="009A3F27"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264B1312" wp14:editId="29275C74">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9A3F27" w:rsidRPr="00096697" w:rsidRDefault="009A3F27"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9A3F27" w:rsidRPr="00096697" w:rsidRDefault="009A3F27"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6612897B" wp14:editId="70312E7D">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9A3F27" w:rsidRPr="00096697" w:rsidRDefault="009A3F27"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9A3F27" w:rsidRPr="00096697" w:rsidRDefault="009A3F27" w:rsidP="003E33E1">
                      <w:r w:rsidRPr="00096697">
                        <w:t>Проверка необходимости направления межведомственных запросов</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13BB1EEE" wp14:editId="0C9E5121">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309B0919" wp14:editId="46B8E111">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69751946" wp14:editId="4C577D5A">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19D081A" wp14:editId="104CB2D4">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64B7EBB5" wp14:editId="7EDA7151">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9A3F27" w:rsidRPr="001C35A5" w:rsidRDefault="009A3F27"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9A3F27" w:rsidRPr="001C35A5" w:rsidRDefault="009A3F27"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w:lastRenderedPageBreak/>
        <mc:AlternateContent>
          <mc:Choice Requires="wps">
            <w:drawing>
              <wp:anchor distT="0" distB="0" distL="114300" distR="114300" simplePos="0" relativeHeight="251677696" behindDoc="0" locked="0" layoutInCell="1" allowOverlap="1" wp14:anchorId="067C14CF" wp14:editId="6136F6AE">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9A3F27" w:rsidRPr="001C35A5" w:rsidRDefault="009A3F27"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9A3F27" w:rsidRPr="001C35A5" w:rsidRDefault="009A3F27"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A2F0F68" wp14:editId="6A6EC5B2">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9A3F27" w:rsidRPr="001C35A5" w:rsidRDefault="009A3F27"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9A3F27" w:rsidRPr="001C35A5" w:rsidRDefault="009A3F27" w:rsidP="003E33E1">
                      <w:r w:rsidRPr="001C35A5">
                        <w:t>Имеются основания для отказа в предоставлении муниципальной услуги</w:t>
                      </w:r>
                    </w:p>
                  </w:txbxContent>
                </v:textbox>
              </v:rect>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36A3315B" wp14:editId="2DA934EB">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F5FF270" wp14:editId="2EE48F13">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1151A452" wp14:editId="04199E28">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5D51921" wp14:editId="3B31F476">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2C022F25" wp14:editId="6AD75FB4">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ED89753" wp14:editId="363234BA">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6E75F398" wp14:editId="3E0F08BA">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9A3F27" w:rsidRDefault="009A3F27"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9A3F27" w:rsidRDefault="009A3F27"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1B1B3378" wp14:editId="7D923E88">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9A3F27" w:rsidRDefault="009A3F27"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9A3F27" w:rsidRDefault="009A3F27"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61811330" wp14:editId="2FCA0BAE">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146F8513" wp14:editId="1550F595">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4AC2115" wp14:editId="5A7DDC2C">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77278D50" wp14:editId="436527F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9A3F27" w:rsidRDefault="009A3F27"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9A3F27" w:rsidRDefault="009A3F27"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54F4384" wp14:editId="4CDDE1AD">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9A3F27" w:rsidRDefault="009A3F27"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9A3F27" w:rsidRDefault="009A3F27" w:rsidP="003E33E1">
                      <w:r>
                        <w:t>Выдача (направление) уведомления об отказе в предоставлении муниципальной услуги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4" w:name="P763"/>
      <w:bookmarkEnd w:id="14"/>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5" w:name="P816"/>
      <w:bookmarkEnd w:id="15"/>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bookmarkStart w:id="16" w:name="_GoBack"/>
      <w:bookmarkEnd w:id="16"/>
    </w:p>
    <w:p w:rsidR="002B059F" w:rsidRDefault="002B059F" w:rsidP="00301E8C">
      <w:pPr>
        <w:spacing w:after="0" w:line="240" w:lineRule="auto"/>
        <w:ind w:firstLine="709"/>
        <w:rPr>
          <w:rFonts w:cs="Times New Roman"/>
          <w:szCs w:val="28"/>
        </w:rPr>
      </w:pPr>
    </w:p>
    <w:p w:rsidR="00D6199D" w:rsidRDefault="00D6199D" w:rsidP="00301E8C">
      <w:pPr>
        <w:spacing w:after="0" w:line="240" w:lineRule="auto"/>
        <w:ind w:firstLine="709"/>
        <w:rPr>
          <w:rFonts w:cs="Times New Roman"/>
          <w:szCs w:val="28"/>
        </w:rPr>
      </w:pPr>
    </w:p>
    <w:p w:rsidR="00D6199D" w:rsidRPr="00D6199D" w:rsidRDefault="00D6199D" w:rsidP="00D6199D">
      <w:pPr>
        <w:shd w:val="clear" w:color="auto" w:fill="FFFFFF"/>
        <w:spacing w:after="0" w:line="240" w:lineRule="auto"/>
        <w:rPr>
          <w:rFonts w:eastAsia="Times New Roman" w:cs="Times New Roman"/>
          <w:color w:val="000000"/>
          <w:szCs w:val="28"/>
          <w:lang w:eastAsia="ru-RU"/>
        </w:rPr>
      </w:pPr>
      <w:r w:rsidRPr="00D6199D">
        <w:rPr>
          <w:rFonts w:eastAsia="Times New Roman" w:cs="Times New Roman"/>
          <w:color w:val="000000"/>
          <w:szCs w:val="28"/>
          <w:lang w:eastAsia="ru-RU"/>
        </w:rPr>
        <w:t>Проект административного регламента подлежит независимой экспертизе.</w:t>
      </w:r>
    </w:p>
    <w:p w:rsidR="00D6199D" w:rsidRPr="00D6199D" w:rsidRDefault="00D6199D" w:rsidP="00D6199D">
      <w:pPr>
        <w:shd w:val="clear" w:color="auto" w:fill="FFFFFF"/>
        <w:spacing w:after="0" w:line="240" w:lineRule="auto"/>
        <w:rPr>
          <w:rFonts w:eastAsia="Times New Roman" w:cs="Times New Roman"/>
          <w:color w:val="000000"/>
          <w:szCs w:val="28"/>
          <w:lang w:eastAsia="ru-RU"/>
        </w:rPr>
      </w:pPr>
      <w:r w:rsidRPr="00D6199D">
        <w:rPr>
          <w:rFonts w:eastAsia="Times New Roman" w:cs="Times New Roman"/>
          <w:color w:val="000000"/>
          <w:szCs w:val="28"/>
          <w:lang w:eastAsia="ru-RU"/>
        </w:rPr>
        <w:t>Экспертизу провести до 11 сентября 2020 года.</w:t>
      </w:r>
    </w:p>
    <w:p w:rsidR="00D6199D" w:rsidRPr="00301E8C" w:rsidRDefault="00D6199D" w:rsidP="00301E8C">
      <w:pPr>
        <w:spacing w:after="0" w:line="240" w:lineRule="auto"/>
        <w:ind w:firstLine="709"/>
        <w:rPr>
          <w:rFonts w:cs="Times New Roman"/>
          <w:szCs w:val="28"/>
        </w:rPr>
      </w:pPr>
    </w:p>
    <w:sectPr w:rsidR="00D6199D" w:rsidRPr="00301E8C" w:rsidSect="00D923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57BBF"/>
    <w:rsid w:val="001A729B"/>
    <w:rsid w:val="001F63E1"/>
    <w:rsid w:val="00244F30"/>
    <w:rsid w:val="002B059F"/>
    <w:rsid w:val="002D5466"/>
    <w:rsid w:val="002E7471"/>
    <w:rsid w:val="00301E8C"/>
    <w:rsid w:val="0031789A"/>
    <w:rsid w:val="0034176B"/>
    <w:rsid w:val="003B22D0"/>
    <w:rsid w:val="003E33E1"/>
    <w:rsid w:val="004209DF"/>
    <w:rsid w:val="00506A9D"/>
    <w:rsid w:val="0055041A"/>
    <w:rsid w:val="005E14A1"/>
    <w:rsid w:val="00634A7D"/>
    <w:rsid w:val="0063745D"/>
    <w:rsid w:val="00702B7C"/>
    <w:rsid w:val="007953CE"/>
    <w:rsid w:val="008A1CC1"/>
    <w:rsid w:val="009311B5"/>
    <w:rsid w:val="009A0FA4"/>
    <w:rsid w:val="009A3F27"/>
    <w:rsid w:val="009F0FB3"/>
    <w:rsid w:val="00A13165"/>
    <w:rsid w:val="00A252CF"/>
    <w:rsid w:val="00A83AB5"/>
    <w:rsid w:val="00AA4513"/>
    <w:rsid w:val="00AB3911"/>
    <w:rsid w:val="00BB6107"/>
    <w:rsid w:val="00C0339D"/>
    <w:rsid w:val="00C1276D"/>
    <w:rsid w:val="00C37F77"/>
    <w:rsid w:val="00C67532"/>
    <w:rsid w:val="00C80A31"/>
    <w:rsid w:val="00CB5BEF"/>
    <w:rsid w:val="00D6199D"/>
    <w:rsid w:val="00D92390"/>
    <w:rsid w:val="00EB7FAD"/>
    <w:rsid w:val="00EC1F18"/>
    <w:rsid w:val="00F13E9F"/>
    <w:rsid w:val="00F836E4"/>
    <w:rsid w:val="00FD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semiHidden/>
    <w:unhideWhenUsed/>
    <w:rsid w:val="00A83A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 w:type="character" w:styleId="a5">
    <w:name w:val="Hyperlink"/>
    <w:semiHidden/>
    <w:unhideWhenUsed/>
    <w:rsid w:val="00A83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4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ewgol.grib@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78EC-6C28-404A-A6C8-7A56C4D0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12267</Words>
  <Characters>69922</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Newgol</cp:lastModifiedBy>
  <cp:revision>16</cp:revision>
  <cp:lastPrinted>2020-08-21T13:22:00Z</cp:lastPrinted>
  <dcterms:created xsi:type="dcterms:W3CDTF">2020-08-21T08:36:00Z</dcterms:created>
  <dcterms:modified xsi:type="dcterms:W3CDTF">2020-08-27T08:15:00Z</dcterms:modified>
</cp:coreProperties>
</file>