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E0" w:rsidRDefault="002917E0" w:rsidP="002917E0">
      <w:pPr>
        <w:ind w:firstLine="709"/>
        <w:jc w:val="right"/>
        <w:rPr>
          <w:rFonts w:ascii="Times New Roman" w:hAnsi="Times New Roman"/>
          <w:b/>
          <w:sz w:val="28"/>
          <w:szCs w:val="28"/>
        </w:rPr>
      </w:pPr>
      <w:bookmarkStart w:id="0" w:name="Par35"/>
      <w:bookmarkStart w:id="1" w:name="_GoBack"/>
      <w:bookmarkEnd w:id="0"/>
      <w:bookmarkEnd w:id="1"/>
      <w:r>
        <w:rPr>
          <w:rFonts w:ascii="Times New Roman" w:hAnsi="Times New Roman"/>
          <w:b/>
          <w:sz w:val="28"/>
          <w:szCs w:val="28"/>
        </w:rPr>
        <w:t>ПРОЕКТ</w:t>
      </w:r>
    </w:p>
    <w:p w:rsidR="002917E0" w:rsidRDefault="002917E0" w:rsidP="006B27EC">
      <w:pPr>
        <w:ind w:firstLine="709"/>
        <w:jc w:val="center"/>
        <w:rPr>
          <w:rFonts w:ascii="Times New Roman" w:hAnsi="Times New Roman"/>
          <w:b/>
          <w:sz w:val="28"/>
          <w:szCs w:val="28"/>
        </w:rPr>
      </w:pP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АДМИНИСТРАТИВНЫЙ РЕГЛАМЕНТ</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 xml:space="preserve">АДМИНИСТРАЦИИ </w:t>
      </w:r>
      <w:r w:rsidR="00DD30A4" w:rsidRPr="0020080C">
        <w:rPr>
          <w:rFonts w:ascii="Times New Roman" w:hAnsi="Times New Roman"/>
          <w:b/>
          <w:sz w:val="28"/>
          <w:szCs w:val="28"/>
        </w:rPr>
        <w:t>НОВОГОЛЬСКОГО</w:t>
      </w:r>
      <w:r w:rsidRPr="0020080C">
        <w:rPr>
          <w:rFonts w:ascii="Times New Roman" w:hAnsi="Times New Roman"/>
          <w:b/>
          <w:sz w:val="28"/>
          <w:szCs w:val="28"/>
        </w:rPr>
        <w:t xml:space="preserve"> СЕЛЬСКОГО ПОСЕЛЕНИЯ ГРИБАНОВСКОГО МУНИЦИПАЛЬНОГО РАЙОНА ВОРОНЕЖСКОЙ ОБЛАСТИ</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ПО ПРЕДОСТАВЛЕНИЮ МУНИЦИПАЛЬНОЙ УСЛУГИ</w:t>
      </w:r>
    </w:p>
    <w:p w:rsidR="006B27EC" w:rsidRPr="0020080C" w:rsidRDefault="006B27EC" w:rsidP="006B27EC">
      <w:pPr>
        <w:ind w:firstLine="709"/>
        <w:jc w:val="center"/>
        <w:rPr>
          <w:rFonts w:ascii="Times New Roman" w:hAnsi="Times New Roman"/>
          <w:b/>
          <w:bCs/>
          <w:sz w:val="28"/>
          <w:szCs w:val="28"/>
        </w:rPr>
      </w:pPr>
      <w:r w:rsidRPr="0020080C">
        <w:rPr>
          <w:rFonts w:ascii="Times New Roman" w:hAnsi="Times New Roman"/>
          <w:b/>
          <w:sz w:val="28"/>
          <w:szCs w:val="28"/>
        </w:rPr>
        <w:t xml:space="preserve">«УСТАНОВЛЕНИЕ СЕРВИТУТА В </w:t>
      </w:r>
      <w:proofErr w:type="gramStart"/>
      <w:r w:rsidRPr="0020080C">
        <w:rPr>
          <w:rFonts w:ascii="Times New Roman" w:hAnsi="Times New Roman"/>
          <w:b/>
          <w:sz w:val="28"/>
          <w:szCs w:val="28"/>
        </w:rPr>
        <w:t>ОТНОШЕНИИ</w:t>
      </w:r>
      <w:proofErr w:type="gramEnd"/>
      <w:r w:rsidRPr="0020080C">
        <w:rPr>
          <w:rFonts w:ascii="Times New Roman" w:hAnsi="Times New Roman"/>
          <w:b/>
          <w:sz w:val="28"/>
          <w:szCs w:val="28"/>
        </w:rPr>
        <w:t xml:space="preserve"> ЗЕМЕЛЬНОГО УЧАСТКА, НАХОДЯЩЕГОСЯ В МУНИЦИПАЛЬНОЙ СОБСТВЕННОСТИ»</w:t>
      </w:r>
    </w:p>
    <w:p w:rsidR="00EF5709" w:rsidRPr="0020080C" w:rsidRDefault="00EF5709" w:rsidP="006B27EC">
      <w:pPr>
        <w:autoSpaceDE w:val="0"/>
        <w:autoSpaceDN w:val="0"/>
        <w:adjustRightInd w:val="0"/>
        <w:ind w:firstLine="709"/>
        <w:jc w:val="left"/>
        <w:rPr>
          <w:rFonts w:ascii="Times New Roman" w:eastAsia="Calibri" w:hAnsi="Times New Roman"/>
          <w:b/>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proofErr w:type="spellStart"/>
      <w:r w:rsidR="00DD30A4">
        <w:rPr>
          <w:rFonts w:ascii="Times New Roman" w:eastAsia="Calibri" w:hAnsi="Times New Roman"/>
          <w:sz w:val="28"/>
          <w:szCs w:val="28"/>
        </w:rPr>
        <w:t>Новогольского</w:t>
      </w:r>
      <w:proofErr w:type="spellEnd"/>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proofErr w:type="spellStart"/>
      <w:r w:rsidR="00DD30A4">
        <w:rPr>
          <w:rFonts w:ascii="Times New Roman" w:eastAsia="Calibri" w:hAnsi="Times New Roman"/>
          <w:sz w:val="28"/>
          <w:szCs w:val="28"/>
        </w:rPr>
        <w:t>Новогольского</w:t>
      </w:r>
      <w:proofErr w:type="spellEnd"/>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w:t>
      </w:r>
      <w:r w:rsidRPr="008A2837">
        <w:rPr>
          <w:rFonts w:ascii="Times New Roman" w:eastAsia="Calibri" w:hAnsi="Times New Roman"/>
          <w:sz w:val="28"/>
          <w:szCs w:val="28"/>
        </w:rPr>
        <w:lastRenderedPageBreak/>
        <w:t>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proofErr w:type="spellStart"/>
      <w:r w:rsidR="00DD30A4">
        <w:rPr>
          <w:rFonts w:ascii="Times New Roman" w:eastAsia="Calibri" w:hAnsi="Times New Roman"/>
          <w:sz w:val="28"/>
          <w:szCs w:val="28"/>
        </w:rPr>
        <w:t>Новогольского</w:t>
      </w:r>
      <w:proofErr w:type="spellEnd"/>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6E7133" w:rsidRPr="00DD30A4" w:rsidRDefault="00EF5709" w:rsidP="006E7133">
      <w:pPr>
        <w:spacing w:after="160" w:line="256" w:lineRule="auto"/>
        <w:ind w:firstLine="0"/>
        <w:jc w:val="left"/>
        <w:rPr>
          <w:rFonts w:ascii="Times New Roman" w:hAnsi="Times New Roman"/>
          <w:b/>
          <w:bCs/>
          <w:color w:val="000000"/>
          <w:sz w:val="28"/>
          <w:szCs w:val="28"/>
          <w:u w:val="single"/>
        </w:rPr>
      </w:pPr>
      <w:proofErr w:type="gramStart"/>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roofErr w:type="gramEnd"/>
    </w:p>
    <w:p w:rsidR="006E7133" w:rsidRPr="006E7133" w:rsidRDefault="006E7133" w:rsidP="006E7133">
      <w:pPr>
        <w:spacing w:after="160" w:line="256" w:lineRule="auto"/>
        <w:ind w:firstLine="0"/>
        <w:jc w:val="left"/>
        <w:rPr>
          <w:rFonts w:ascii="Times New Roman" w:eastAsia="Calibri" w:hAnsi="Times New Roman"/>
          <w:sz w:val="28"/>
          <w:szCs w:val="28"/>
          <w:lang w:eastAsia="en-US"/>
        </w:rPr>
      </w:pPr>
      <w:proofErr w:type="gramStart"/>
      <w:r w:rsidRPr="006E7133">
        <w:rPr>
          <w:rFonts w:ascii="Times New Roman" w:eastAsia="Calibri" w:hAnsi="Times New Roman"/>
          <w:sz w:val="28"/>
          <w:szCs w:val="28"/>
          <w:lang w:eastAsia="en-US"/>
        </w:rPr>
        <w:t>novogolskoe.ru);</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w:t>
      </w:r>
      <w:r w:rsidRPr="008A2837">
        <w:rPr>
          <w:rFonts w:ascii="Times New Roman" w:eastAsia="Calibri" w:hAnsi="Times New Roman"/>
          <w:sz w:val="28"/>
          <w:szCs w:val="28"/>
        </w:rPr>
        <w:lastRenderedPageBreak/>
        <w:t>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w:t>
      </w:r>
      <w:r w:rsidRPr="008A2837">
        <w:rPr>
          <w:rFonts w:ascii="Times New Roman" w:eastAsia="Calibri" w:hAnsi="Times New Roman"/>
          <w:sz w:val="28"/>
          <w:szCs w:val="28"/>
        </w:rPr>
        <w:lastRenderedPageBreak/>
        <w:t>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proofErr w:type="spellStart"/>
      <w:r w:rsidR="00DD30A4">
        <w:rPr>
          <w:rFonts w:ascii="Times New Roman" w:eastAsia="Calibri" w:hAnsi="Times New Roman"/>
          <w:sz w:val="28"/>
          <w:szCs w:val="28"/>
        </w:rPr>
        <w:t>Новогольского</w:t>
      </w:r>
      <w:proofErr w:type="spellEnd"/>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w:t>
      </w:r>
      <w:r w:rsidR="00DD30A4" w:rsidRPr="00DD30A4">
        <w:rPr>
          <w:rFonts w:ascii="Times New Roman" w:eastAsia="Calibri" w:hAnsi="Times New Roman"/>
          <w:sz w:val="28"/>
          <w:szCs w:val="28"/>
        </w:rPr>
        <w:t xml:space="preserve"> </w:t>
      </w:r>
      <w:proofErr w:type="spellStart"/>
      <w:r w:rsidR="00DD30A4">
        <w:rPr>
          <w:rFonts w:ascii="Times New Roman" w:eastAsia="Calibri" w:hAnsi="Times New Roman"/>
          <w:sz w:val="28"/>
          <w:szCs w:val="28"/>
        </w:rPr>
        <w:t>Новогольского</w:t>
      </w:r>
      <w:proofErr w:type="spellEnd"/>
      <w:r w:rsidR="00DD30A4"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w:t>
      </w:r>
      <w:r w:rsidRPr="008A2837">
        <w:rPr>
          <w:rFonts w:ascii="Times New Roman" w:eastAsia="Calibri" w:hAnsi="Times New Roman"/>
          <w:sz w:val="28"/>
          <w:szCs w:val="28"/>
        </w:rPr>
        <w:lastRenderedPageBreak/>
        <w:t>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Федеральным законом от 06.10.2003 N 131-ФЗ "Об общих принципах организации местного самоуправления в Российской Федерации" ("Собрание </w:t>
      </w:r>
      <w:r w:rsidRPr="008A2837">
        <w:rPr>
          <w:rFonts w:ascii="Times New Roman" w:eastAsia="Calibri" w:hAnsi="Times New Roman"/>
          <w:sz w:val="28"/>
          <w:szCs w:val="28"/>
        </w:rPr>
        <w:lastRenderedPageBreak/>
        <w:t>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2" w:name="Par161"/>
      <w:bookmarkEnd w:id="2"/>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proofErr w:type="spellStart"/>
      <w:r w:rsidR="00E7448C">
        <w:rPr>
          <w:rFonts w:ascii="Times New Roman" w:eastAsia="Calibri" w:hAnsi="Times New Roman"/>
          <w:sz w:val="28"/>
          <w:szCs w:val="28"/>
        </w:rPr>
        <w:t>Новогольского</w:t>
      </w:r>
      <w:proofErr w:type="spellEnd"/>
      <w:r w:rsidR="00E7448C">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E7448C">
        <w:rPr>
          <w:rFonts w:ascii="Times New Roman" w:hAnsi="Times New Roman"/>
          <w:sz w:val="28"/>
          <w:szCs w:val="28"/>
        </w:rPr>
        <w:t>Новогольского</w:t>
      </w:r>
      <w:proofErr w:type="spellEnd"/>
      <w:r w:rsidR="00E7448C">
        <w:rPr>
          <w:rFonts w:ascii="Times New Roman" w:hAnsi="Times New Roman"/>
          <w:sz w:val="28"/>
          <w:szCs w:val="28"/>
        </w:rPr>
        <w:t xml:space="preserve"> </w:t>
      </w:r>
      <w:r w:rsidR="000D4924" w:rsidRPr="008A2837">
        <w:rPr>
          <w:rFonts w:ascii="Times New Roman" w:hAnsi="Times New Roman"/>
          <w:sz w:val="28"/>
          <w:szCs w:val="28"/>
        </w:rPr>
        <w:t xml:space="preserve">сельского поселения Грибановского муниципального района </w:t>
      </w:r>
      <w:r w:rsidR="000D4924" w:rsidRPr="008A2837">
        <w:rPr>
          <w:rFonts w:ascii="Times New Roman" w:hAnsi="Times New Roman"/>
          <w:sz w:val="28"/>
          <w:szCs w:val="28"/>
        </w:rPr>
        <w:lastRenderedPageBreak/>
        <w:t>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28"/>
      <w:bookmarkEnd w:id="3"/>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4" w:name="Par234"/>
      <w:bookmarkEnd w:id="4"/>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E7448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DD30A4" w:rsidP="00E7448C">
      <w:pPr>
        <w:autoSpaceDE w:val="0"/>
        <w:autoSpaceDN w:val="0"/>
        <w:adjustRightInd w:val="0"/>
        <w:ind w:firstLine="709"/>
        <w:jc w:val="center"/>
        <w:rPr>
          <w:rFonts w:ascii="Times New Roman" w:eastAsia="Calibri" w:hAnsi="Times New Roman"/>
          <w:bCs/>
          <w:sz w:val="28"/>
          <w:szCs w:val="28"/>
        </w:rPr>
      </w:pPr>
      <w:proofErr w:type="spellStart"/>
      <w:r>
        <w:rPr>
          <w:rFonts w:ascii="Times New Roman" w:eastAsia="Calibri" w:hAnsi="Times New Roman"/>
          <w:sz w:val="28"/>
          <w:szCs w:val="28"/>
        </w:rPr>
        <w:t>Новогольского</w:t>
      </w:r>
      <w:proofErr w:type="spellEnd"/>
      <w:r w:rsidR="00FC11C4" w:rsidRPr="008A2837">
        <w:rPr>
          <w:rFonts w:ascii="Times New Roman" w:eastAsia="Calibri" w:hAnsi="Times New Roman"/>
          <w:bCs/>
          <w:sz w:val="28"/>
          <w:szCs w:val="28"/>
        </w:rPr>
        <w:t xml:space="preserve"> сельского поселения</w:t>
      </w:r>
    </w:p>
    <w:p w:rsidR="00EF5709" w:rsidRPr="008A2837" w:rsidRDefault="00EF5709" w:rsidP="00E7448C">
      <w:pPr>
        <w:autoSpaceDE w:val="0"/>
        <w:autoSpaceDN w:val="0"/>
        <w:adjustRightInd w:val="0"/>
        <w:ind w:firstLine="709"/>
        <w:jc w:val="center"/>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2.13.5. Заявление и документы, представляемые в форме электронных документов, подписываются в соответствии с требованиями Федерального </w:t>
      </w:r>
      <w:r w:rsidRPr="008A2837">
        <w:rPr>
          <w:rFonts w:ascii="Times New Roman" w:eastAsia="Calibri" w:hAnsi="Times New Roman"/>
          <w:sz w:val="28"/>
          <w:szCs w:val="28"/>
        </w:rPr>
        <w:lastRenderedPageBreak/>
        <w:t>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w:t>
      </w:r>
      <w:r w:rsidRPr="008A2837">
        <w:rPr>
          <w:rFonts w:ascii="Times New Roman" w:eastAsia="Calibri" w:hAnsi="Times New Roman"/>
          <w:sz w:val="28"/>
          <w:szCs w:val="28"/>
        </w:rPr>
        <w:lastRenderedPageBreak/>
        <w:t xml:space="preserve">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proofErr w:type="spellStart"/>
      <w:r w:rsidR="00DD30A4">
        <w:rPr>
          <w:rFonts w:ascii="Times New Roman" w:eastAsia="Calibri" w:hAnsi="Times New Roman"/>
          <w:sz w:val="28"/>
          <w:szCs w:val="28"/>
        </w:rPr>
        <w:t>Новогольского</w:t>
      </w:r>
      <w:proofErr w:type="spellEnd"/>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w:t>
      </w:r>
      <w:r w:rsidRPr="008A2837">
        <w:rPr>
          <w:rFonts w:ascii="Times New Roman" w:eastAsia="Calibri" w:hAnsi="Times New Roman"/>
          <w:sz w:val="28"/>
          <w:szCs w:val="28"/>
        </w:rPr>
        <w:lastRenderedPageBreak/>
        <w:t>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w:t>
      </w:r>
      <w:r w:rsidRPr="008A2837">
        <w:rPr>
          <w:rFonts w:ascii="Times New Roman" w:eastAsia="Calibri" w:hAnsi="Times New Roman"/>
          <w:sz w:val="28"/>
          <w:szCs w:val="28"/>
        </w:rPr>
        <w:lastRenderedPageBreak/>
        <w:t>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lastRenderedPageBreak/>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5" w:name="P882"/>
      <w:bookmarkEnd w:id="5"/>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BD0151">
        <w:rPr>
          <w:rFonts w:ascii="Times New Roman" w:hAnsi="Times New Roman"/>
          <w:sz w:val="28"/>
          <w:szCs w:val="28"/>
        </w:rPr>
        <w:lastRenderedPageBreak/>
        <w:t>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BD0151">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D0151">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18"/>
      <w:bookmarkEnd w:id="6"/>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 xml:space="preserve">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w:t>
      </w:r>
      <w:r w:rsidRPr="00BD0151">
        <w:rPr>
          <w:rFonts w:ascii="Times New Roman" w:hAnsi="Times New Roman"/>
          <w:sz w:val="28"/>
          <w:szCs w:val="28"/>
        </w:rPr>
        <w:lastRenderedPageBreak/>
        <w:t>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7" w:name="P623"/>
      <w:bookmarkEnd w:id="7"/>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8" w:name="P638"/>
      <w:bookmarkEnd w:id="8"/>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proofErr w:type="spellStart"/>
      <w:r w:rsidR="00DD30A4">
        <w:rPr>
          <w:rFonts w:ascii="Times New Roman" w:eastAsia="Calibri" w:hAnsi="Times New Roman"/>
          <w:sz w:val="28"/>
          <w:szCs w:val="28"/>
        </w:rPr>
        <w:t>Новогольского</w:t>
      </w:r>
      <w:proofErr w:type="spellEnd"/>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DD30A4">
        <w:rPr>
          <w:rFonts w:ascii="Times New Roman" w:eastAsia="Calibri" w:hAnsi="Times New Roman"/>
          <w:sz w:val="28"/>
          <w:szCs w:val="28"/>
          <w:lang w:eastAsia="en-US"/>
        </w:rPr>
        <w:t>397228</w:t>
      </w:r>
      <w:r w:rsidRPr="00BD0151">
        <w:rPr>
          <w:rFonts w:ascii="Times New Roman" w:eastAsia="Calibri" w:hAnsi="Times New Roman"/>
          <w:sz w:val="28"/>
          <w:szCs w:val="28"/>
          <w:lang w:eastAsia="en-US"/>
        </w:rPr>
        <w:t xml:space="preserve"> Воронежская область, Грибановский район, с. </w:t>
      </w:r>
      <w:r w:rsidR="00DD30A4">
        <w:rPr>
          <w:rFonts w:ascii="Times New Roman" w:eastAsia="Calibri" w:hAnsi="Times New Roman"/>
          <w:sz w:val="28"/>
          <w:szCs w:val="28"/>
          <w:lang w:eastAsia="en-US"/>
        </w:rPr>
        <w:t>Новогольское</w:t>
      </w:r>
      <w:r w:rsidRPr="00BD0151">
        <w:rPr>
          <w:rFonts w:ascii="Times New Roman" w:eastAsia="Calibri" w:hAnsi="Times New Roman"/>
          <w:sz w:val="28"/>
          <w:szCs w:val="28"/>
          <w:lang w:eastAsia="en-US"/>
        </w:rPr>
        <w:t xml:space="preserve">, ул. </w:t>
      </w:r>
      <w:r w:rsidR="00DD30A4">
        <w:rPr>
          <w:rFonts w:ascii="Times New Roman" w:eastAsia="Calibri" w:hAnsi="Times New Roman"/>
          <w:sz w:val="28"/>
          <w:szCs w:val="28"/>
          <w:lang w:eastAsia="en-US"/>
        </w:rPr>
        <w:t>Советская</w:t>
      </w:r>
      <w:r w:rsidRPr="00BD0151">
        <w:rPr>
          <w:rFonts w:ascii="Times New Roman" w:eastAsia="Calibri" w:hAnsi="Times New Roman"/>
          <w:sz w:val="28"/>
          <w:szCs w:val="28"/>
          <w:lang w:eastAsia="en-US"/>
        </w:rPr>
        <w:t>,</w:t>
      </w:r>
      <w:r w:rsidR="00DD30A4">
        <w:rPr>
          <w:rFonts w:ascii="Times New Roman" w:eastAsia="Calibri" w:hAnsi="Times New Roman"/>
          <w:sz w:val="28"/>
          <w:szCs w:val="28"/>
          <w:lang w:eastAsia="en-US"/>
        </w:rPr>
        <w:t>69</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DD30A4">
        <w:rPr>
          <w:rFonts w:ascii="Times New Roman" w:eastAsia="Calibri" w:hAnsi="Times New Roman"/>
          <w:sz w:val="28"/>
          <w:szCs w:val="28"/>
          <w:lang w:eastAsia="en-US"/>
        </w:rPr>
        <w:t>33-5-35</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DD30A4" w:rsidRPr="00E7448C" w:rsidRDefault="00BD0151" w:rsidP="00DD30A4">
      <w:pPr>
        <w:spacing w:after="160" w:line="256" w:lineRule="auto"/>
        <w:ind w:firstLine="0"/>
        <w:jc w:val="left"/>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DD30A4" w:rsidRPr="00E7448C">
        <w:rPr>
          <w:rFonts w:ascii="Times New Roman" w:eastAsia="Calibri" w:hAnsi="Times New Roman"/>
          <w:sz w:val="28"/>
          <w:szCs w:val="28"/>
          <w:lang w:eastAsia="en-US"/>
        </w:rPr>
        <w:t>novogolskoe.ru.</w:t>
      </w:r>
    </w:p>
    <w:p w:rsidR="004B5689" w:rsidRPr="004B5689" w:rsidRDefault="00BD0151" w:rsidP="00DD30A4">
      <w:pPr>
        <w:autoSpaceDE w:val="0"/>
        <w:autoSpaceDN w:val="0"/>
        <w:adjustRightInd w:val="0"/>
        <w:ind w:firstLine="709"/>
        <w:rPr>
          <w:rFonts w:ascii="Times New Roman" w:hAnsi="Times New Roman"/>
          <w:sz w:val="28"/>
          <w:szCs w:val="28"/>
        </w:rPr>
      </w:pPr>
      <w:r w:rsidRPr="00BD0151">
        <w:rPr>
          <w:rFonts w:ascii="Times New Roman" w:eastAsia="Calibri" w:hAnsi="Times New Roman"/>
          <w:sz w:val="28"/>
          <w:szCs w:val="28"/>
          <w:lang w:eastAsia="en-US"/>
        </w:rPr>
        <w:t xml:space="preserve">Адрес электронной почты администрации: </w:t>
      </w:r>
    </w:p>
    <w:p w:rsidR="00BD0151" w:rsidRPr="004B5689" w:rsidRDefault="004B5689" w:rsidP="004B5689">
      <w:pPr>
        <w:autoSpaceDE w:val="0"/>
        <w:autoSpaceDN w:val="0"/>
        <w:adjustRightInd w:val="0"/>
        <w:ind w:firstLine="709"/>
        <w:rPr>
          <w:rFonts w:ascii="Times New Roman" w:eastAsia="Calibri" w:hAnsi="Times New Roman"/>
          <w:b/>
          <w:sz w:val="28"/>
          <w:szCs w:val="28"/>
          <w:lang w:eastAsia="en-US"/>
        </w:rPr>
      </w:pPr>
      <w:r w:rsidRPr="004B5689">
        <w:rPr>
          <w:rFonts w:ascii="Times New Roman" w:hAnsi="Times New Roman"/>
          <w:color w:val="000000"/>
          <w:sz w:val="28"/>
          <w:szCs w:val="28"/>
        </w:rPr>
        <w:t xml:space="preserve">   </w:t>
      </w:r>
      <w:hyperlink r:id="rId9" w:history="1">
        <w:r w:rsidRPr="004B5689">
          <w:rPr>
            <w:rFonts w:ascii="Times New Roman" w:hAnsi="Times New Roman"/>
            <w:bCs/>
            <w:color w:val="000000"/>
            <w:sz w:val="28"/>
            <w:szCs w:val="28"/>
            <w:u w:val="single"/>
          </w:rPr>
          <w:t>newgol.grib@govvrn.ru</w:t>
        </w:r>
      </w:hyperlink>
      <w:r w:rsidR="00BD0151" w:rsidRPr="004B5689">
        <w:rPr>
          <w:rFonts w:ascii="Times New Roman" w:eastAsia="Calibri" w:hAnsi="Times New Roman"/>
          <w:b/>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lastRenderedPageBreak/>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DD30A4" w:rsidRPr="00DD30A4" w:rsidRDefault="00DD30A4" w:rsidP="006E7133">
      <w:pPr>
        <w:spacing w:after="160" w:line="256" w:lineRule="auto"/>
        <w:ind w:firstLine="0"/>
        <w:jc w:val="left"/>
        <w:rPr>
          <w:rFonts w:ascii="Calibri" w:eastAsia="Calibri" w:hAnsi="Calibri"/>
          <w:sz w:val="22"/>
          <w:szCs w:val="22"/>
          <w:lang w:eastAsia="en-US"/>
        </w:rPr>
      </w:pPr>
      <w:r w:rsidRPr="00DD30A4">
        <w:rPr>
          <w:rFonts w:ascii="Times New Roman" w:hAnsi="Times New Roman"/>
          <w:color w:val="000000"/>
          <w:sz w:val="28"/>
          <w:szCs w:val="28"/>
        </w:rPr>
        <w:t xml:space="preserve">   </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E7448C">
      <w:pPr>
        <w:autoSpaceDE w:val="0"/>
        <w:autoSpaceDN w:val="0"/>
        <w:adjustRightInd w:val="0"/>
        <w:ind w:firstLine="0"/>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C3771" w:rsidRPr="008A2837">
        <w:rPr>
          <w:rFonts w:ascii="Times New Roman" w:eastAsia="Calibri" w:hAnsi="Times New Roman"/>
          <w:sz w:val="28"/>
          <w:szCs w:val="28"/>
        </w:rPr>
        <w:t>_______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9" w:name="Par671"/>
      <w:bookmarkEnd w:id="9"/>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4"/>
      <w:bookmarkEnd w:id="10"/>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1" w:name="Par705"/>
      <w:bookmarkEnd w:id="11"/>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2" w:name="Par718"/>
      <w:bookmarkEnd w:id="12"/>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136A4B0F" wp14:editId="6FCE2CFA">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20080C" w:rsidRPr="00927A45" w:rsidRDefault="0020080C"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0080C" w:rsidRDefault="0020080C"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0080C" w:rsidRPr="00927A45" w:rsidRDefault="0020080C"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0080C" w:rsidRDefault="0020080C" w:rsidP="00927A45">
                      <w:pPr>
                        <w:jc w:val="center"/>
                      </w:pPr>
                    </w:p>
                  </w:txbxContent>
                </v:textbox>
              </v:rect>
            </w:pict>
          </mc:Fallback>
        </mc:AlternateContent>
      </w:r>
    </w:p>
    <w:p w:rsidR="00927A45" w:rsidRPr="008A2837" w:rsidRDefault="00D94410"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3A06B4E" wp14:editId="4C416C2C">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0080C" w:rsidRPr="00D94410" w:rsidRDefault="0020080C"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558D0B03" wp14:editId="1EEC63E9">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DA2F997" wp14:editId="304DEE32">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38B7D3EC" wp14:editId="7F49E3D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50B5B605" wp14:editId="6614C9A3">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0080C" w:rsidRPr="00D94410" w:rsidRDefault="0020080C"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F57BBBF" wp14:editId="33CA3C65">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B13428B" wp14:editId="0CECBF6B">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8A2837" w:rsidRDefault="0026189A" w:rsidP="008E562E">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1781514" wp14:editId="26CD9CB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0080C" w:rsidRPr="00D94410" w:rsidRDefault="0020080C"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90233CF" wp14:editId="248A546F">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0080C" w:rsidRPr="00D94410" w:rsidRDefault="0020080C"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9D5DDB2" wp14:editId="4CA6D86B">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0080C" w:rsidRPr="00D94410" w:rsidRDefault="0020080C"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37C96A25" wp14:editId="44F9EF2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43585940" wp14:editId="2F64BAED">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4663E54C" wp14:editId="01606E3A">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6B7163D6" wp14:editId="780FEE7E">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163D56C8" wp14:editId="4A36E5A3">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371473C9" wp14:editId="26AAAA22">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C22862" w:rsidRDefault="0020080C"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0080C" w:rsidRPr="00C22862" w:rsidRDefault="0020080C"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8A2837" w:rsidRDefault="00725833"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C4D9218" wp14:editId="46EAA851">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725833" w:rsidRDefault="0020080C"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0080C" w:rsidRPr="00725833" w:rsidRDefault="0020080C"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348002C" wp14:editId="6C3B5C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725833" w:rsidRDefault="0020080C"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0080C" w:rsidRPr="00725833" w:rsidRDefault="0020080C"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8A2837" w:rsidRDefault="00C22862"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3C4BC2B3" wp14:editId="41792837">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20080C" w:rsidRPr="00C22862" w:rsidRDefault="0020080C"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0080C" w:rsidRPr="00D94410" w:rsidRDefault="0020080C"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20080C" w:rsidRPr="00C22862" w:rsidRDefault="0020080C" w:rsidP="00C22862">
                      <w:pPr>
                        <w:ind w:firstLine="0"/>
                        <w:rPr>
                          <w:rFonts w:ascii="Times New Roman" w:hAnsi="Times New Roman"/>
                          <w:sz w:val="16"/>
                          <w:szCs w:val="16"/>
                        </w:rP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6008A1FE" wp14:editId="463B6936">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70401195" wp14:editId="64EF8094">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C22862" w:rsidRDefault="0020080C"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0080C" w:rsidRPr="00C22862" w:rsidRDefault="0020080C"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324ACEB" wp14:editId="410A9694">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E3F721F" wp14:editId="7309FE9A">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0080C" w:rsidRPr="00D94410" w:rsidRDefault="0020080C"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20080C" w:rsidRDefault="0020080C"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0080C" w:rsidRPr="00D94410" w:rsidRDefault="0020080C"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20080C" w:rsidRDefault="0020080C" w:rsidP="00725833">
                      <w:pPr>
                        <w:jc w:val="cente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E7448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567"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04" w:rsidRDefault="00CD4F04" w:rsidP="009552D2">
      <w:r>
        <w:separator/>
      </w:r>
    </w:p>
  </w:endnote>
  <w:endnote w:type="continuationSeparator" w:id="0">
    <w:p w:rsidR="00CD4F04" w:rsidRDefault="00CD4F04"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C" w:rsidRDefault="002008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C" w:rsidRDefault="002008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C" w:rsidRDefault="002008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04" w:rsidRDefault="00CD4F04" w:rsidP="009552D2">
      <w:r>
        <w:separator/>
      </w:r>
    </w:p>
  </w:footnote>
  <w:footnote w:type="continuationSeparator" w:id="0">
    <w:p w:rsidR="00CD4F04" w:rsidRDefault="00CD4F04"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C" w:rsidRDefault="002008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C" w:rsidRPr="00D258A4" w:rsidRDefault="0020080C">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C" w:rsidRDefault="002008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26B54"/>
    <w:rsid w:val="001579E7"/>
    <w:rsid w:val="001F6CFA"/>
    <w:rsid w:val="0020080C"/>
    <w:rsid w:val="00253252"/>
    <w:rsid w:val="0026189A"/>
    <w:rsid w:val="002917E0"/>
    <w:rsid w:val="00292535"/>
    <w:rsid w:val="002E07E0"/>
    <w:rsid w:val="002E399B"/>
    <w:rsid w:val="003A2983"/>
    <w:rsid w:val="003E79BD"/>
    <w:rsid w:val="004B5689"/>
    <w:rsid w:val="005553DC"/>
    <w:rsid w:val="005F181D"/>
    <w:rsid w:val="00625C55"/>
    <w:rsid w:val="00643BFA"/>
    <w:rsid w:val="006B27EC"/>
    <w:rsid w:val="006C439E"/>
    <w:rsid w:val="006E7133"/>
    <w:rsid w:val="006F270C"/>
    <w:rsid w:val="00704397"/>
    <w:rsid w:val="00725833"/>
    <w:rsid w:val="007633C5"/>
    <w:rsid w:val="007C6F36"/>
    <w:rsid w:val="007D2C89"/>
    <w:rsid w:val="008A2837"/>
    <w:rsid w:val="008C3771"/>
    <w:rsid w:val="008E3D7F"/>
    <w:rsid w:val="008E562E"/>
    <w:rsid w:val="00927A45"/>
    <w:rsid w:val="009552D2"/>
    <w:rsid w:val="009A7DBE"/>
    <w:rsid w:val="009E792A"/>
    <w:rsid w:val="00A210D7"/>
    <w:rsid w:val="00A25DE3"/>
    <w:rsid w:val="00A42540"/>
    <w:rsid w:val="00A45B3F"/>
    <w:rsid w:val="00A73D9A"/>
    <w:rsid w:val="00B55C38"/>
    <w:rsid w:val="00BD0151"/>
    <w:rsid w:val="00BD37DB"/>
    <w:rsid w:val="00C22862"/>
    <w:rsid w:val="00CD4F04"/>
    <w:rsid w:val="00CD6EB9"/>
    <w:rsid w:val="00CE5D36"/>
    <w:rsid w:val="00D258A4"/>
    <w:rsid w:val="00D94410"/>
    <w:rsid w:val="00DD30A4"/>
    <w:rsid w:val="00DD6766"/>
    <w:rsid w:val="00E463F0"/>
    <w:rsid w:val="00E7448C"/>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4685">
      <w:bodyDiv w:val="1"/>
      <w:marLeft w:val="0"/>
      <w:marRight w:val="0"/>
      <w:marTop w:val="0"/>
      <w:marBottom w:val="0"/>
      <w:divBdr>
        <w:top w:val="none" w:sz="0" w:space="0" w:color="auto"/>
        <w:left w:val="none" w:sz="0" w:space="0" w:color="auto"/>
        <w:bottom w:val="none" w:sz="0" w:space="0" w:color="auto"/>
        <w:right w:val="none" w:sz="0" w:space="0" w:color="auto"/>
      </w:divBdr>
    </w:div>
    <w:div w:id="19394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wgol.grib@govvr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F0FF-2DD8-46AB-98F3-52544CB8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434</TotalTime>
  <Pages>1</Pages>
  <Words>10970</Words>
  <Characters>62534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13</cp:revision>
  <cp:lastPrinted>2020-04-24T10:45:00Z</cp:lastPrinted>
  <dcterms:created xsi:type="dcterms:W3CDTF">2020-04-24T07:33:00Z</dcterms:created>
  <dcterms:modified xsi:type="dcterms:W3CDTF">2020-04-27T09:00:00Z</dcterms:modified>
</cp:coreProperties>
</file>