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00" w:rsidRPr="00883200" w:rsidRDefault="00883200" w:rsidP="00883200">
      <w:pPr>
        <w:ind w:firstLine="709"/>
        <w:jc w:val="right"/>
        <w:rPr>
          <w:rFonts w:ascii="Times New Roman" w:hAnsi="Times New Roman"/>
          <w:b/>
          <w:sz w:val="28"/>
          <w:szCs w:val="28"/>
        </w:rPr>
      </w:pPr>
      <w:r w:rsidRPr="00883200">
        <w:rPr>
          <w:rFonts w:ascii="Times New Roman" w:hAnsi="Times New Roman"/>
          <w:b/>
          <w:sz w:val="28"/>
          <w:szCs w:val="28"/>
        </w:rPr>
        <w:t>ПРОЕКТ</w:t>
      </w:r>
    </w:p>
    <w:p w:rsidR="00883200" w:rsidRDefault="00883200"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883200" w:rsidP="00B74443">
      <w:pPr>
        <w:ind w:firstLine="709"/>
        <w:jc w:val="center"/>
        <w:rPr>
          <w:rFonts w:ascii="Times New Roman" w:hAnsi="Times New Roman"/>
          <w:sz w:val="28"/>
          <w:szCs w:val="28"/>
        </w:rPr>
      </w:pPr>
      <w:r>
        <w:rPr>
          <w:rFonts w:ascii="Times New Roman" w:hAnsi="Times New Roman"/>
          <w:sz w:val="28"/>
          <w:szCs w:val="28"/>
        </w:rPr>
        <w:t>НОВОГОЛЬСКОГО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«___» ______________ 2023 г. № ____</w:t>
      </w:r>
    </w:p>
    <w:p w:rsidR="000764F6" w:rsidRPr="00B74443" w:rsidRDefault="000764F6" w:rsidP="00B74443">
      <w:pPr>
        <w:ind w:firstLine="709"/>
        <w:rPr>
          <w:rFonts w:ascii="Times New Roman" w:hAnsi="Times New Roman"/>
          <w:sz w:val="28"/>
          <w:szCs w:val="28"/>
        </w:rPr>
      </w:pPr>
      <w:proofErr w:type="spellStart"/>
      <w:r w:rsidRPr="00B74443">
        <w:rPr>
          <w:rFonts w:ascii="Times New Roman" w:hAnsi="Times New Roman"/>
          <w:sz w:val="28"/>
          <w:szCs w:val="28"/>
        </w:rPr>
        <w:t>с</w:t>
      </w:r>
      <w:proofErr w:type="gramStart"/>
      <w:r w:rsidR="00883200">
        <w:rPr>
          <w:rFonts w:ascii="Times New Roman" w:hAnsi="Times New Roman"/>
          <w:sz w:val="28"/>
          <w:szCs w:val="28"/>
        </w:rPr>
        <w:t>.Н</w:t>
      </w:r>
      <w:proofErr w:type="gramEnd"/>
      <w:r w:rsidR="00883200">
        <w:rPr>
          <w:rFonts w:ascii="Times New Roman" w:hAnsi="Times New Roman"/>
          <w:sz w:val="28"/>
          <w:szCs w:val="28"/>
        </w:rPr>
        <w:t>овогольское</w:t>
      </w:r>
      <w:proofErr w:type="spellEnd"/>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883200">
        <w:rPr>
          <w:rFonts w:ascii="Times New Roman" w:hAnsi="Times New Roman"/>
          <w:sz w:val="28"/>
          <w:szCs w:val="28"/>
        </w:rPr>
        <w:t>Новогольского</w:t>
      </w:r>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978CA" w:rsidRPr="00A978CA">
        <w:rPr>
          <w:rFonts w:ascii="Times New Roman" w:hAnsi="Times New Roman"/>
          <w:sz w:val="28"/>
          <w:szCs w:val="28"/>
        </w:rPr>
        <w:t>Новогольского</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A978CA" w:rsidRPr="00A978CA">
        <w:rPr>
          <w:rFonts w:eastAsia="Times New Roman"/>
          <w:lang w:eastAsia="ru-RU"/>
        </w:rPr>
        <w:t>Новогольского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A978CA" w:rsidRPr="00A978CA">
        <w:rPr>
          <w:rFonts w:ascii="Times New Roman" w:hAnsi="Times New Roman"/>
          <w:sz w:val="28"/>
          <w:szCs w:val="28"/>
        </w:rPr>
        <w:t>Новогольского</w:t>
      </w:r>
      <w:r w:rsidRPr="00B74443">
        <w:rPr>
          <w:rFonts w:ascii="Times New Roman" w:hAnsi="Times New Roman"/>
          <w:sz w:val="28"/>
          <w:szCs w:val="28"/>
        </w:rPr>
        <w:t xml:space="preserve"> сельского поселения и размещения на официальном сайте </w:t>
      </w:r>
      <w:r w:rsidR="00A978CA" w:rsidRPr="00A978CA">
        <w:rPr>
          <w:rFonts w:ascii="Times New Roman" w:hAnsi="Times New Roman"/>
          <w:sz w:val="28"/>
          <w:szCs w:val="28"/>
        </w:rPr>
        <w:t>Новогольского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lastRenderedPageBreak/>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A978CA">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proofErr w:type="spellStart"/>
            <w:r w:rsidR="00A978CA">
              <w:rPr>
                <w:rFonts w:ascii="Times New Roman" w:eastAsia="Arial Unicode MS" w:hAnsi="Times New Roman"/>
                <w:sz w:val="28"/>
                <w:szCs w:val="28"/>
                <w:lang w:bidi="ru-RU"/>
              </w:rPr>
              <w:t>В.П.Лушников</w:t>
            </w:r>
            <w:proofErr w:type="spellEnd"/>
          </w:p>
        </w:tc>
      </w:tr>
    </w:tbl>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br w:type="page"/>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A978CA" w:rsidP="00B74443">
      <w:pPr>
        <w:widowControl w:val="0"/>
        <w:ind w:firstLine="709"/>
        <w:jc w:val="right"/>
        <w:rPr>
          <w:rFonts w:ascii="Times New Roman" w:hAnsi="Times New Roman"/>
          <w:bCs/>
          <w:kern w:val="28"/>
          <w:sz w:val="28"/>
          <w:szCs w:val="28"/>
          <w:lang w:bidi="ru-RU"/>
        </w:rPr>
      </w:pPr>
      <w:r w:rsidRPr="00A978CA">
        <w:rPr>
          <w:rFonts w:ascii="Times New Roman" w:eastAsia="Arial Unicode MS" w:hAnsi="Times New Roman"/>
          <w:sz w:val="28"/>
          <w:szCs w:val="28"/>
          <w:lang w:bidi="ru-RU"/>
        </w:rPr>
        <w:t xml:space="preserve">Новогольского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«__»__________2023 г. № ___</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A978CA" w:rsidRPr="00A978CA">
        <w:rPr>
          <w:i w:val="0"/>
          <w:sz w:val="28"/>
          <w:szCs w:val="28"/>
        </w:rPr>
        <w:t>Новогольского</w:t>
      </w:r>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A978CA" w:rsidRPr="00A978CA">
        <w:rPr>
          <w:sz w:val="28"/>
          <w:szCs w:val="28"/>
        </w:rPr>
        <w:t>Новогольского</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r w:rsidR="00A978CA" w:rsidRPr="00A978CA">
        <w:rPr>
          <w:sz w:val="28"/>
          <w:szCs w:val="28"/>
        </w:rPr>
        <w:t>Новогольского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A978CA" w:rsidRPr="00A978CA">
        <w:rPr>
          <w:sz w:val="28"/>
          <w:szCs w:val="28"/>
        </w:rPr>
        <w:t>Новогольского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r w:rsidR="00A978CA" w:rsidRPr="00A978CA">
        <w:rPr>
          <w:sz w:val="28"/>
          <w:szCs w:val="28"/>
        </w:rPr>
        <w:t>Новогольского</w:t>
      </w:r>
      <w:r w:rsidR="006972B1" w:rsidRPr="00B74443">
        <w:rPr>
          <w:sz w:val="28"/>
          <w:szCs w:val="28"/>
        </w:rPr>
        <w:t xml:space="preserve"> </w:t>
      </w:r>
      <w:r w:rsidR="00F7504A" w:rsidRPr="00B74443">
        <w:rPr>
          <w:sz w:val="28"/>
          <w:szCs w:val="28"/>
        </w:rPr>
        <w:t>(http://</w:t>
      </w:r>
      <w:r w:rsidR="006972B1" w:rsidRPr="00B74443">
        <w:rPr>
          <w:sz w:val="28"/>
          <w:szCs w:val="28"/>
        </w:rPr>
        <w:t>______________</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r w:rsidR="00F7504A" w:rsidRPr="00B74443">
        <w:rPr>
          <w:sz w:val="28"/>
          <w:szCs w:val="28"/>
          <w:lang w:val="en-US"/>
        </w:rPr>
        <w:t>ru</w:t>
      </w:r>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r w:rsidR="00961820" w:rsidRPr="00B74443">
        <w:rPr>
          <w:sz w:val="28"/>
          <w:szCs w:val="28"/>
          <w:lang w:val="en-US"/>
        </w:rPr>
        <w:t>ru</w:t>
      </w:r>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r w:rsidR="00961820" w:rsidRPr="00B74443">
        <w:rPr>
          <w:sz w:val="28"/>
          <w:szCs w:val="28"/>
        </w:rPr>
        <w:t xml:space="preserve"> </w:t>
      </w:r>
      <w:r w:rsidR="00F7504A" w:rsidRPr="00B74443">
        <w:rPr>
          <w:sz w:val="28"/>
          <w:szCs w:val="28"/>
        </w:rPr>
        <w:t>обязательному размещению</w:t>
      </w:r>
      <w:proofErr w:type="gramEnd"/>
      <w:r w:rsidR="00F7504A" w:rsidRPr="00B74443">
        <w:rPr>
          <w:sz w:val="28"/>
          <w:szCs w:val="28"/>
        </w:rPr>
        <w:t xml:space="preserve">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w:t>
      </w:r>
      <w:proofErr w:type="gramStart"/>
      <w:r w:rsidRPr="00B74443">
        <w:rPr>
          <w:sz w:val="28"/>
          <w:szCs w:val="28"/>
        </w:rPr>
        <w:t>произносят слова четко и не прерывают</w:t>
      </w:r>
      <w:proofErr w:type="gramEnd"/>
      <w:r w:rsidRPr="00B74443">
        <w:rPr>
          <w:sz w:val="28"/>
          <w:szCs w:val="28"/>
        </w:rPr>
        <w:t xml:space="preserve">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0"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0"/>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A978CA" w:rsidRPr="00A978CA">
        <w:rPr>
          <w:sz w:val="28"/>
          <w:szCs w:val="28"/>
        </w:rPr>
        <w:t>Новогольского</w:t>
      </w:r>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предоставлении</w:t>
      </w:r>
      <w:proofErr w:type="gramEnd"/>
      <w:r w:rsidR="00F7504A" w:rsidRPr="00B74443">
        <w:rPr>
          <w:rFonts w:ascii="Times New Roman" w:hAnsi="Times New Roman"/>
          <w:sz w:val="28"/>
          <w:szCs w:val="28"/>
        </w:rPr>
        <w:t xml:space="preserve">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A978CA" w:rsidRPr="00A978CA">
        <w:rPr>
          <w:rFonts w:ascii="Times New Roman" w:eastAsia="Arial Unicode MS" w:hAnsi="Times New Roman"/>
          <w:sz w:val="28"/>
          <w:szCs w:val="28"/>
          <w:lang w:bidi="ru-RU"/>
        </w:rPr>
        <w:t>Новогольского</w:t>
      </w:r>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A978CA" w:rsidRPr="00A978CA">
        <w:rPr>
          <w:rFonts w:ascii="Times New Roman" w:hAnsi="Times New Roman"/>
          <w:sz w:val="28"/>
          <w:szCs w:val="28"/>
        </w:rPr>
        <w:t>Новогольского</w:t>
      </w:r>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http://____________.</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094393" w:rsidRPr="00094393">
        <w:rPr>
          <w:rFonts w:eastAsiaTheme="minorHAnsi"/>
          <w:i w:val="0"/>
          <w:sz w:val="28"/>
          <w:szCs w:val="28"/>
        </w:rPr>
        <w:t>Новогольского</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094393" w:rsidRPr="00094393">
        <w:rPr>
          <w:rFonts w:eastAsiaTheme="minorHAnsi"/>
          <w:i w:val="0"/>
          <w:sz w:val="28"/>
          <w:szCs w:val="28"/>
        </w:rPr>
        <w:t>Новогольского</w:t>
      </w:r>
      <w:r w:rsidRPr="00B74443">
        <w:rPr>
          <w:rFonts w:eastAsiaTheme="minorHAnsi"/>
          <w:i w:val="0"/>
          <w:sz w:val="28"/>
          <w:szCs w:val="28"/>
        </w:rPr>
        <w:t xml:space="preserve"> сельского поселения Грибановского муниципального района Воронежской области </w:t>
      </w:r>
      <w:r w:rsidR="0067603D" w:rsidRPr="00B74443">
        <w:rPr>
          <w:rFonts w:eastAsiaTheme="minorHAnsi"/>
          <w:i w:val="0"/>
          <w:sz w:val="28"/>
          <w:szCs w:val="28"/>
        </w:rPr>
        <w:t>№</w:t>
      </w:r>
      <w:r w:rsidR="00094393">
        <w:rPr>
          <w:rFonts w:eastAsiaTheme="minorHAnsi"/>
          <w:i w:val="0"/>
          <w:sz w:val="28"/>
          <w:szCs w:val="28"/>
        </w:rPr>
        <w:t>126</w:t>
      </w:r>
      <w:r w:rsidR="00B74443" w:rsidRPr="00B74443">
        <w:rPr>
          <w:rFonts w:eastAsiaTheme="minorHAnsi"/>
          <w:i w:val="0"/>
          <w:sz w:val="28"/>
          <w:szCs w:val="28"/>
        </w:rPr>
        <w:t xml:space="preserve"> </w:t>
      </w:r>
      <w:r w:rsidR="0067603D" w:rsidRPr="00B74443">
        <w:rPr>
          <w:rFonts w:eastAsiaTheme="minorHAnsi"/>
          <w:i w:val="0"/>
          <w:sz w:val="28"/>
          <w:szCs w:val="28"/>
        </w:rPr>
        <w:t xml:space="preserve">от </w:t>
      </w:r>
      <w:r w:rsidR="00094393">
        <w:rPr>
          <w:rFonts w:eastAsiaTheme="minorHAnsi"/>
          <w:i w:val="0"/>
          <w:sz w:val="28"/>
          <w:szCs w:val="28"/>
        </w:rPr>
        <w:t>31.05</w:t>
      </w:r>
      <w:r w:rsidR="001E76C0">
        <w:rPr>
          <w:rFonts w:eastAsiaTheme="minorHAnsi"/>
          <w:i w:val="0"/>
          <w:sz w:val="28"/>
          <w:szCs w:val="28"/>
        </w:rPr>
        <w:t xml:space="preserve"> 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 xml:space="preserve">Способ получения услуги </w:t>
      </w:r>
      <w:proofErr w:type="gramStart"/>
      <w:r w:rsidR="001C7E61" w:rsidRPr="00B74443">
        <w:rPr>
          <w:sz w:val="28"/>
          <w:szCs w:val="28"/>
        </w:rPr>
        <w:t>определяется Заявителем и указывается</w:t>
      </w:r>
      <w:proofErr w:type="gramEnd"/>
      <w:r w:rsidR="001C7E61" w:rsidRPr="00B74443">
        <w:rPr>
          <w:sz w:val="28"/>
          <w:szCs w:val="28"/>
        </w:rPr>
        <w:t xml:space="preserve">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r w:rsidRPr="00B74443">
        <w:rPr>
          <w:sz w:val="28"/>
          <w:szCs w:val="28"/>
          <w:lang w:val="en-US"/>
        </w:rPr>
        <w:t>pdf</w:t>
      </w:r>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1"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1"/>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w:t>
      </w:r>
      <w:proofErr w:type="gramStart"/>
      <w:r w:rsidR="00C957D1" w:rsidRPr="00B74443">
        <w:rPr>
          <w:rFonts w:ascii="Times New Roman" w:hAnsi="Times New Roman"/>
          <w:sz w:val="28"/>
          <w:szCs w:val="28"/>
        </w:rPr>
        <w:t xml:space="preserve">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proofErr w:type="gramEnd"/>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w:t>
      </w:r>
      <w:proofErr w:type="gramStart"/>
      <w:r w:rsidR="00120228" w:rsidRPr="00B74443">
        <w:rPr>
          <w:sz w:val="28"/>
          <w:szCs w:val="28"/>
        </w:rPr>
        <w:t>устанавливает их комплектность и определяет</w:t>
      </w:r>
      <w:proofErr w:type="gramEnd"/>
      <w:r w:rsidR="00120228" w:rsidRPr="00B74443">
        <w:rPr>
          <w:sz w:val="28"/>
          <w:szCs w:val="28"/>
        </w:rPr>
        <w:t xml:space="preserve">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и направляется</w:t>
      </w:r>
      <w:proofErr w:type="gramEnd"/>
      <w:r w:rsidRPr="00B7444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B74443">
        <w:rPr>
          <w:rFonts w:ascii="Times New Roman" w:hAnsi="Times New Roman"/>
          <w:sz w:val="28"/>
          <w:szCs w:val="28"/>
        </w:rPr>
        <w:t xml:space="preserve">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w:t>
      </w:r>
      <w:proofErr w:type="gramStart"/>
      <w:r w:rsidRPr="00B74443">
        <w:rPr>
          <w:rFonts w:ascii="Times New Roman" w:hAnsi="Times New Roman"/>
          <w:sz w:val="28"/>
          <w:szCs w:val="28"/>
        </w:rPr>
        <w:t>составляется в произвольной форме и направляется</w:t>
      </w:r>
      <w:proofErr w:type="gramEnd"/>
      <w:r w:rsidRPr="00B7444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2"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2"/>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094393" w:rsidRPr="00094393">
        <w:rPr>
          <w:sz w:val="28"/>
          <w:szCs w:val="28"/>
        </w:rPr>
        <w:t>Новогольского</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094393" w:rsidRPr="00094393">
        <w:rPr>
          <w:sz w:val="28"/>
          <w:szCs w:val="28"/>
        </w:rPr>
        <w:t>Новогольского</w:t>
      </w:r>
      <w:bookmarkStart w:id="3" w:name="_GoBack"/>
      <w:bookmarkEnd w:id="3"/>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w:t>
      </w:r>
      <w:proofErr w:type="gramStart"/>
      <w:r w:rsidRPr="00B744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15" w:rsidRDefault="000D3915" w:rsidP="009476CE">
      <w:r>
        <w:separator/>
      </w:r>
    </w:p>
  </w:endnote>
  <w:endnote w:type="continuationSeparator" w:id="0">
    <w:p w:rsidR="000D3915" w:rsidRDefault="000D391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15" w:rsidRDefault="000D3915" w:rsidP="009476CE">
      <w:r>
        <w:separator/>
      </w:r>
    </w:p>
  </w:footnote>
  <w:footnote w:type="continuationSeparator" w:id="0">
    <w:p w:rsidR="000D3915" w:rsidRDefault="000D3915"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883200" w:rsidRDefault="00883200">
        <w:pPr>
          <w:pStyle w:val="a9"/>
          <w:jc w:val="center"/>
        </w:pPr>
        <w:r>
          <w:fldChar w:fldCharType="begin"/>
        </w:r>
        <w:r>
          <w:instrText>PAGE   \* MERGEFORMAT</w:instrText>
        </w:r>
        <w:r>
          <w:fldChar w:fldCharType="separate"/>
        </w:r>
        <w:r w:rsidR="00094393">
          <w:rPr>
            <w:noProof/>
          </w:rPr>
          <w:t>44</w:t>
        </w:r>
        <w:r>
          <w:fldChar w:fldCharType="end"/>
        </w:r>
      </w:p>
    </w:sdtContent>
  </w:sdt>
  <w:p w:rsidR="00883200" w:rsidRDefault="008832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393"/>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915"/>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3200"/>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8CA"/>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B141-CC81-4746-B780-8CF5CBFA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6810</TotalTime>
  <Pages>1</Pages>
  <Words>14037</Words>
  <Characters>80014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Newgol</cp:lastModifiedBy>
  <cp:revision>450</cp:revision>
  <cp:lastPrinted>2023-07-18T09:53:00Z</cp:lastPrinted>
  <dcterms:created xsi:type="dcterms:W3CDTF">2023-03-27T09:10:00Z</dcterms:created>
  <dcterms:modified xsi:type="dcterms:W3CDTF">2023-10-19T11:44:00Z</dcterms:modified>
</cp:coreProperties>
</file>