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F5" w:rsidRPr="009F0AF5" w:rsidRDefault="009F0AF5" w:rsidP="009F0AF5">
      <w:pPr>
        <w:tabs>
          <w:tab w:val="left" w:pos="8475"/>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9F0AF5">
        <w:rPr>
          <w:rFonts w:ascii="Times New Roman" w:eastAsia="Times New Roman" w:hAnsi="Times New Roman" w:cs="Times New Roman"/>
          <w:b/>
          <w:sz w:val="28"/>
          <w:szCs w:val="28"/>
          <w:lang w:eastAsia="ru-RU"/>
        </w:rPr>
        <w:t>ПРОЕКТ</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АДМИНИСТРАЦИЯ</w:t>
      </w:r>
    </w:p>
    <w:p w:rsidR="000B344A" w:rsidRPr="009F0AF5" w:rsidRDefault="00C4584F" w:rsidP="00DC2F2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НОВОГОЛЬСКОГО</w:t>
      </w:r>
      <w:r w:rsidR="009F0AF5" w:rsidRPr="009F0AF5">
        <w:rPr>
          <w:rFonts w:ascii="Times New Roman" w:eastAsia="Times New Roman" w:hAnsi="Times New Roman" w:cs="Times New Roman"/>
          <w:b/>
          <w:sz w:val="28"/>
          <w:szCs w:val="28"/>
          <w:lang w:eastAsia="ru-RU"/>
        </w:rPr>
        <w:t xml:space="preserve"> </w:t>
      </w:r>
      <w:r w:rsidR="000B344A" w:rsidRPr="009F0AF5">
        <w:rPr>
          <w:rFonts w:ascii="Times New Roman" w:eastAsia="Times New Roman" w:hAnsi="Times New Roman" w:cs="Times New Roman"/>
          <w:b/>
          <w:sz w:val="28"/>
          <w:szCs w:val="28"/>
          <w:lang w:eastAsia="ru-RU"/>
        </w:rPr>
        <w:t>СЕЛЬСКОГО ПОСЕЛЕНИЯ</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ГРИБАНОВСКОГО МУНИЦИПАЛЬНОГО РАЙОНА</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ВОРОНЕЖСКОЙ ОБЛАСТИ</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9F0AF5" w:rsidP="00DC2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B344A" w:rsidRPr="00DC2F20">
        <w:rPr>
          <w:rFonts w:ascii="Times New Roman" w:eastAsia="Times New Roman" w:hAnsi="Times New Roman" w:cs="Times New Roman"/>
          <w:sz w:val="28"/>
          <w:szCs w:val="28"/>
          <w:lang w:eastAsia="ru-RU"/>
        </w:rPr>
        <w:t>с</w:t>
      </w:r>
      <w:proofErr w:type="gramStart"/>
      <w:r w:rsidR="000B344A" w:rsidRPr="00DC2F20">
        <w:rPr>
          <w:rFonts w:ascii="Times New Roman" w:eastAsia="Times New Roman" w:hAnsi="Times New Roman" w:cs="Times New Roman"/>
          <w:sz w:val="28"/>
          <w:szCs w:val="28"/>
          <w:lang w:eastAsia="ru-RU"/>
        </w:rPr>
        <w:t>.</w:t>
      </w:r>
      <w:r w:rsidR="00C4584F">
        <w:rPr>
          <w:rFonts w:ascii="Times New Roman" w:eastAsia="Times New Roman" w:hAnsi="Times New Roman" w:cs="Times New Roman"/>
          <w:sz w:val="28"/>
          <w:szCs w:val="28"/>
          <w:lang w:eastAsia="ru-RU"/>
        </w:rPr>
        <w:t>Н</w:t>
      </w:r>
      <w:proofErr w:type="gramEnd"/>
      <w:r w:rsidR="00C4584F">
        <w:rPr>
          <w:rFonts w:ascii="Times New Roman" w:eastAsia="Times New Roman" w:hAnsi="Times New Roman" w:cs="Times New Roman"/>
          <w:sz w:val="28"/>
          <w:szCs w:val="28"/>
          <w:lang w:eastAsia="ru-RU"/>
        </w:rPr>
        <w:t>овогольское</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4584F">
        <w:t>Новогольского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C4584F">
        <w:rPr>
          <w:rFonts w:ascii="Times New Roman" w:hAnsi="Times New Roman" w:cs="Times New Roman"/>
          <w:sz w:val="28"/>
          <w:szCs w:val="28"/>
        </w:rPr>
        <w:t>Новогольского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от «</w:t>
      </w:r>
      <w:r w:rsidR="005A3F91">
        <w:rPr>
          <w:rFonts w:ascii="Times New Roman" w:eastAsia="Arial Unicode MS" w:hAnsi="Times New Roman" w:cs="Times New Roman"/>
          <w:b w:val="0"/>
          <w:sz w:val="28"/>
          <w:szCs w:val="28"/>
          <w:lang w:bidi="ru-RU"/>
        </w:rPr>
        <w:t>21</w:t>
      </w:r>
      <w:r w:rsidRPr="003548F8">
        <w:rPr>
          <w:rFonts w:ascii="Times New Roman" w:eastAsia="Arial Unicode MS" w:hAnsi="Times New Roman" w:cs="Times New Roman"/>
          <w:b w:val="0"/>
          <w:sz w:val="28"/>
          <w:szCs w:val="28"/>
          <w:lang w:bidi="ru-RU"/>
        </w:rPr>
        <w:t>»</w:t>
      </w:r>
      <w:r w:rsidR="005A3F91">
        <w:rPr>
          <w:rFonts w:ascii="Times New Roman" w:eastAsia="Arial Unicode MS" w:hAnsi="Times New Roman" w:cs="Times New Roman"/>
          <w:b w:val="0"/>
          <w:sz w:val="28"/>
          <w:szCs w:val="28"/>
          <w:lang w:bidi="ru-RU"/>
        </w:rPr>
        <w:t>сентября</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sidRPr="003548F8">
        <w:rPr>
          <w:rFonts w:ascii="Times New Roman" w:eastAsia="Arial Unicode MS" w:hAnsi="Times New Roman" w:cs="Times New Roman"/>
          <w:b w:val="0"/>
          <w:sz w:val="28"/>
          <w:szCs w:val="28"/>
          <w:lang w:bidi="ru-RU"/>
        </w:rPr>
        <w:t xml:space="preserve">г. № </w:t>
      </w:r>
      <w:r w:rsidR="005A3F91">
        <w:rPr>
          <w:rFonts w:ascii="Times New Roman" w:eastAsia="Arial Unicode MS" w:hAnsi="Times New Roman" w:cs="Times New Roman"/>
          <w:b w:val="0"/>
          <w:sz w:val="28"/>
          <w:szCs w:val="28"/>
          <w:lang w:bidi="ru-RU"/>
        </w:rPr>
        <w:t>78</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5A3F91">
        <w:rPr>
          <w:rFonts w:ascii="Times New Roman" w:eastAsia="SimSun" w:hAnsi="Times New Roman" w:cs="Times New Roman"/>
          <w:b w:val="0"/>
          <w:sz w:val="28"/>
          <w:szCs w:val="28"/>
          <w:lang w:eastAsia="hi-IN" w:bidi="hi-IN"/>
        </w:rPr>
        <w:t>Новогольского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w:t>
      </w:r>
      <w:r w:rsidR="009E5C58" w:rsidRPr="003548F8">
        <w:rPr>
          <w:rFonts w:ascii="Times New Roman" w:hAnsi="Times New Roman" w:cs="Times New Roman"/>
          <w:b w:val="0"/>
          <w:sz w:val="28"/>
          <w:szCs w:val="28"/>
        </w:rPr>
        <w:lastRenderedPageBreak/>
        <w:t xml:space="preserve">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w:t>
      </w:r>
      <w:r w:rsidR="00EB5CE2">
        <w:rPr>
          <w:rFonts w:ascii="Times New Roman" w:eastAsia="Arial Unicode MS" w:hAnsi="Times New Roman" w:cs="Times New Roman"/>
          <w:b w:val="0"/>
          <w:sz w:val="28"/>
          <w:szCs w:val="28"/>
          <w:lang w:bidi="ru-RU"/>
        </w:rPr>
        <w:t>09</w:t>
      </w:r>
      <w:r w:rsidRPr="003548F8">
        <w:rPr>
          <w:rFonts w:ascii="Times New Roman" w:eastAsia="Arial Unicode MS" w:hAnsi="Times New Roman" w:cs="Times New Roman"/>
          <w:b w:val="0"/>
          <w:sz w:val="28"/>
          <w:szCs w:val="28"/>
          <w:lang w:bidi="ru-RU"/>
        </w:rPr>
        <w:t>»</w:t>
      </w:r>
      <w:r w:rsidR="00EB5CE2">
        <w:rPr>
          <w:rFonts w:ascii="Times New Roman" w:eastAsia="Arial Unicode MS" w:hAnsi="Times New Roman" w:cs="Times New Roman"/>
          <w:b w:val="0"/>
          <w:sz w:val="28"/>
          <w:szCs w:val="28"/>
          <w:lang w:bidi="ru-RU"/>
        </w:rPr>
        <w:t>декабря</w:t>
      </w:r>
      <w:r w:rsidR="009E5C58" w:rsidRPr="003548F8">
        <w:rPr>
          <w:rFonts w:ascii="Times New Roman" w:eastAsia="Arial Unicode MS" w:hAnsi="Times New Roman" w:cs="Times New Roman"/>
          <w:b w:val="0"/>
          <w:sz w:val="28"/>
          <w:szCs w:val="28"/>
          <w:lang w:bidi="ru-RU"/>
        </w:rPr>
        <w:t xml:space="preserve"> 2016 </w:t>
      </w:r>
      <w:r w:rsidRPr="003548F8">
        <w:rPr>
          <w:rFonts w:ascii="Times New Roman" w:eastAsia="Arial Unicode MS" w:hAnsi="Times New Roman" w:cs="Times New Roman"/>
          <w:b w:val="0"/>
          <w:sz w:val="28"/>
          <w:szCs w:val="28"/>
          <w:lang w:bidi="ru-RU"/>
        </w:rPr>
        <w:t>г. №</w:t>
      </w:r>
      <w:r w:rsidR="00EB5CE2">
        <w:rPr>
          <w:rFonts w:ascii="Times New Roman" w:eastAsia="Arial Unicode MS" w:hAnsi="Times New Roman" w:cs="Times New Roman"/>
          <w:b w:val="0"/>
          <w:sz w:val="28"/>
          <w:szCs w:val="28"/>
          <w:lang w:bidi="ru-RU"/>
        </w:rPr>
        <w:t>105</w:t>
      </w:r>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C4584F">
        <w:rPr>
          <w:rFonts w:ascii="Times New Roman" w:hAnsi="Times New Roman" w:cs="Times New Roman"/>
          <w:b w:val="0"/>
          <w:sz w:val="28"/>
          <w:szCs w:val="28"/>
        </w:rPr>
        <w:t>Новогольского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EB5CE2">
        <w:rPr>
          <w:rFonts w:ascii="Times New Roman" w:hAnsi="Times New Roman" w:cs="Times New Roman"/>
          <w:b w:val="0"/>
          <w:sz w:val="28"/>
          <w:szCs w:val="28"/>
        </w:rPr>
        <w:t>21 сентября</w:t>
      </w:r>
      <w:r w:rsidR="009E5C58" w:rsidRPr="003548F8">
        <w:rPr>
          <w:rFonts w:ascii="Times New Roman" w:hAnsi="Times New Roman" w:cs="Times New Roman"/>
          <w:b w:val="0"/>
          <w:sz w:val="28"/>
          <w:szCs w:val="28"/>
        </w:rPr>
        <w:t xml:space="preserve"> 2016 г. № </w:t>
      </w:r>
      <w:r w:rsidR="00EB5CE2">
        <w:rPr>
          <w:rFonts w:ascii="Times New Roman" w:hAnsi="Times New Roman" w:cs="Times New Roman"/>
          <w:b w:val="0"/>
          <w:sz w:val="28"/>
          <w:szCs w:val="28"/>
        </w:rPr>
        <w:t>78</w:t>
      </w:r>
      <w:bookmarkStart w:id="0" w:name="_GoBack"/>
      <w:bookmarkEnd w:id="0"/>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C4584F">
        <w:rPr>
          <w:rFonts w:ascii="Times New Roman" w:hAnsi="Times New Roman" w:cs="Times New Roman"/>
          <w:b w:val="0"/>
          <w:sz w:val="28"/>
          <w:szCs w:val="28"/>
        </w:rPr>
        <w:t>Новогольского</w:t>
      </w:r>
      <w:r w:rsidR="003548F8" w:rsidRPr="009F0AF5">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w:t>
      </w:r>
      <w:proofErr w:type="gramEnd"/>
      <w:r w:rsidR="009E5C58" w:rsidRPr="003548F8">
        <w:rPr>
          <w:rFonts w:ascii="Times New Roman" w:hAnsi="Times New Roman" w:cs="Times New Roman"/>
          <w:b w:val="0"/>
          <w:sz w:val="28"/>
          <w:szCs w:val="28"/>
        </w:rPr>
        <w:t xml:space="preserve"> участков, находящихся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r w:rsidRPr="003548F8">
        <w:rPr>
          <w:rFonts w:ascii="Times New Roman" w:eastAsia="Arial Unicode MS" w:hAnsi="Times New Roman" w:cs="Times New Roman"/>
          <w:b w:val="0"/>
          <w:sz w:val="28"/>
          <w:szCs w:val="28"/>
          <w:lang w:bidi="ru-RU"/>
        </w:rPr>
        <w:t>- от «</w:t>
      </w:r>
      <w:r w:rsidR="005A3F91">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5A3F91">
        <w:rPr>
          <w:rFonts w:ascii="Times New Roman" w:eastAsia="Arial Unicode MS" w:hAnsi="Times New Roman" w:cs="Times New Roman"/>
          <w:b w:val="0"/>
          <w:sz w:val="28"/>
          <w:szCs w:val="28"/>
          <w:lang w:bidi="ru-RU"/>
        </w:rPr>
        <w:t>апреля</w:t>
      </w:r>
      <w:r w:rsidRPr="003548F8">
        <w:rPr>
          <w:rFonts w:ascii="Times New Roman" w:eastAsia="Arial Unicode MS" w:hAnsi="Times New Roman" w:cs="Times New Roman"/>
          <w:b w:val="0"/>
          <w:sz w:val="28"/>
          <w:szCs w:val="28"/>
          <w:lang w:bidi="ru-RU"/>
        </w:rPr>
        <w:t xml:space="preserve"> 2023 г. №</w:t>
      </w:r>
      <w:r w:rsidR="005A3F91">
        <w:rPr>
          <w:rFonts w:ascii="Times New Roman" w:eastAsia="Arial Unicode MS" w:hAnsi="Times New Roman" w:cs="Times New Roman"/>
          <w:b w:val="0"/>
          <w:sz w:val="28"/>
          <w:szCs w:val="28"/>
          <w:lang w:bidi="ru-RU"/>
        </w:rPr>
        <w:t>19</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w:t>
      </w:r>
      <w:proofErr w:type="gramStart"/>
      <w:r w:rsidRPr="003548F8">
        <w:rPr>
          <w:rFonts w:ascii="Times New Roman" w:hAnsi="Times New Roman" w:cs="Times New Roman"/>
          <w:b w:val="0"/>
          <w:sz w:val="28"/>
          <w:szCs w:val="28"/>
        </w:rPr>
        <w:t>в</w:t>
      </w:r>
      <w:proofErr w:type="gramEnd"/>
      <w:r w:rsidRPr="003548F8">
        <w:rPr>
          <w:rFonts w:ascii="Times New Roman" w:hAnsi="Times New Roman" w:cs="Times New Roman"/>
          <w:b w:val="0"/>
          <w:sz w:val="28"/>
          <w:szCs w:val="28"/>
        </w:rPr>
        <w:t xml:space="preserve"> административный регламент администрации </w:t>
      </w:r>
      <w:r w:rsidR="00C4584F">
        <w:rPr>
          <w:rFonts w:ascii="Times New Roman" w:hAnsi="Times New Roman" w:cs="Times New Roman"/>
          <w:b w:val="0"/>
          <w:sz w:val="28"/>
          <w:szCs w:val="28"/>
        </w:rPr>
        <w:t>Новогольского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C4584F">
        <w:rPr>
          <w:rFonts w:ascii="Times New Roman" w:hAnsi="Times New Roman" w:cs="Times New Roman"/>
          <w:b w:val="0"/>
          <w:sz w:val="28"/>
          <w:szCs w:val="28"/>
        </w:rPr>
        <w:t>Новогольского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5A3F91">
        <w:rPr>
          <w:rFonts w:ascii="Times New Roman" w:hAnsi="Times New Roman" w:cs="Times New Roman"/>
          <w:b w:val="0"/>
          <w:sz w:val="28"/>
          <w:szCs w:val="28"/>
        </w:rPr>
        <w:t>21 сентября</w:t>
      </w:r>
      <w:r w:rsidRPr="003548F8">
        <w:rPr>
          <w:rFonts w:ascii="Times New Roman" w:hAnsi="Times New Roman" w:cs="Times New Roman"/>
          <w:b w:val="0"/>
          <w:sz w:val="28"/>
          <w:szCs w:val="28"/>
        </w:rPr>
        <w:t xml:space="preserve">2016 № </w:t>
      </w:r>
      <w:r w:rsidR="005A3F91">
        <w:rPr>
          <w:rFonts w:ascii="Times New Roman" w:hAnsi="Times New Roman" w:cs="Times New Roman"/>
          <w:b w:val="0"/>
          <w:sz w:val="28"/>
          <w:szCs w:val="28"/>
        </w:rPr>
        <w:t>78</w:t>
      </w:r>
      <w:r>
        <w:rPr>
          <w:rFonts w:ascii="Times New Roman" w:hAnsi="Times New Roman" w:cs="Times New Roman"/>
          <w:b w:val="0"/>
          <w:sz w:val="28"/>
          <w:szCs w:val="28"/>
        </w:rPr>
        <w:t>».</w:t>
      </w:r>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муниципальных правовых актов</w:t>
      </w:r>
      <w:r w:rsidR="009F0AF5" w:rsidRPr="009F0AF5">
        <w:rPr>
          <w:rFonts w:ascii="Times New Roman" w:hAnsi="Times New Roman" w:cs="Times New Roman"/>
          <w:b/>
          <w:sz w:val="28"/>
          <w:szCs w:val="28"/>
        </w:rPr>
        <w:t xml:space="preserve"> </w:t>
      </w:r>
      <w:r w:rsidR="00C4584F">
        <w:rPr>
          <w:rFonts w:ascii="Times New Roman" w:hAnsi="Times New Roman" w:cs="Times New Roman"/>
          <w:sz w:val="28"/>
          <w:szCs w:val="28"/>
        </w:rPr>
        <w:t>Новогольского</w:t>
      </w:r>
      <w:r w:rsidR="009F0AF5" w:rsidRPr="009F0AF5">
        <w:rPr>
          <w:rFonts w:ascii="Times New Roman" w:eastAsia="Times New Roman" w:hAnsi="Times New Roman" w:cs="Times New Roman"/>
          <w:sz w:val="28"/>
          <w:szCs w:val="28"/>
          <w:lang w:eastAsia="ru-RU"/>
        </w:rPr>
        <w:t xml:space="preserve"> </w:t>
      </w:r>
      <w:r w:rsidR="000B344A" w:rsidRPr="009F0AF5">
        <w:rPr>
          <w:rFonts w:ascii="Times New Roman" w:eastAsia="Times New Roman" w:hAnsi="Times New Roman" w:cs="Times New Roman"/>
          <w:sz w:val="28"/>
          <w:szCs w:val="28"/>
          <w:lang w:eastAsia="ru-RU"/>
        </w:rPr>
        <w:t xml:space="preserve">сельского поселения и размещения на официальном сайте </w:t>
      </w:r>
      <w:r w:rsidR="00C4584F">
        <w:rPr>
          <w:rFonts w:ascii="Times New Roman" w:hAnsi="Times New Roman" w:cs="Times New Roman"/>
          <w:sz w:val="28"/>
          <w:szCs w:val="28"/>
        </w:rPr>
        <w:t>Новогольского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9F0AF5" w:rsidP="009F0A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Е.В.Анисимов</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C4584F"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Новогольского</w:t>
      </w:r>
      <w:r w:rsidR="000B344A" w:rsidRPr="009F0AF5">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C4584F">
        <w:rPr>
          <w:rFonts w:ascii="Times New Roman" w:hAnsi="Times New Roman" w:cs="Times New Roman"/>
          <w:sz w:val="28"/>
          <w:szCs w:val="28"/>
        </w:rPr>
        <w:t>Новогольского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C4584F">
        <w:rPr>
          <w:rFonts w:ascii="Times New Roman" w:hAnsi="Times New Roman" w:cs="Times New Roman"/>
          <w:sz w:val="28"/>
          <w:szCs w:val="28"/>
        </w:rPr>
        <w:t>Новогольского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C4584F">
        <w:rPr>
          <w:rFonts w:ascii="Times New Roman" w:hAnsi="Times New Roman" w:cs="Times New Roman"/>
          <w:sz w:val="28"/>
          <w:szCs w:val="28"/>
        </w:rPr>
        <w:t>Новогольского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C4584F">
        <w:rPr>
          <w:sz w:val="28"/>
          <w:szCs w:val="28"/>
        </w:rPr>
        <w:t>Новогольского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C4584F">
        <w:rPr>
          <w:rFonts w:ascii="Times New Roman" w:hAnsi="Times New Roman" w:cs="Times New Roman"/>
          <w:sz w:val="28"/>
          <w:szCs w:val="28"/>
        </w:rPr>
        <w:t>Новогольского</w:t>
      </w:r>
      <w:r w:rsidR="001A55B4" w:rsidRPr="00DC2F20">
        <w:rPr>
          <w:rFonts w:ascii="Times New Roman" w:hAnsi="Times New Roman" w:cs="Times New Roman"/>
          <w:sz w:val="28"/>
          <w:szCs w:val="28"/>
        </w:rPr>
        <w:t xml:space="preserve"> (http://______________)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.ru</w:t>
      </w:r>
      <w:proofErr w:type="gram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DC2F20">
        <w:rPr>
          <w:rFonts w:ascii="Times New Roman" w:hAnsi="Times New Roman" w:cs="Times New Roman"/>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C4584F">
        <w:rPr>
          <w:rFonts w:ascii="Times New Roman" w:hAnsi="Times New Roman" w:cs="Times New Roman"/>
          <w:sz w:val="28"/>
          <w:szCs w:val="28"/>
        </w:rPr>
        <w:t>Новогольского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C4584F">
        <w:rPr>
          <w:rFonts w:ascii="Times New Roman" w:hAnsi="Times New Roman" w:cs="Times New Roman"/>
          <w:sz w:val="28"/>
          <w:szCs w:val="28"/>
        </w:rPr>
        <w:t>Новогольского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C4584F">
        <w:rPr>
          <w:rFonts w:ascii="Times New Roman" w:hAnsi="Times New Roman" w:cs="Times New Roman"/>
          <w:sz w:val="28"/>
          <w:szCs w:val="28"/>
        </w:rPr>
        <w:t>Новогольского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lastRenderedPageBreak/>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17747E" w:rsidRPr="00DC2F20">
        <w:rPr>
          <w:sz w:val="28"/>
          <w:szCs w:val="28"/>
        </w:rPr>
        <w:lastRenderedPageBreak/>
        <w:t>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http://______________.</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w:t>
      </w:r>
      <w:r w:rsidRPr="00DC2F20">
        <w:rPr>
          <w:rFonts w:ascii="Times New Roman" w:hAnsi="Times New Roman" w:cs="Times New Roman"/>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w:t>
      </w:r>
      <w:r w:rsidRPr="00DC2F20">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w:t>
      </w:r>
      <w:r w:rsidR="00897207" w:rsidRPr="00DC2F20">
        <w:rPr>
          <w:rFonts w:ascii="Times New Roman" w:hAnsi="Times New Roman" w:cs="Times New Roman"/>
          <w:sz w:val="28"/>
          <w:szCs w:val="28"/>
        </w:rPr>
        <w:lastRenderedPageBreak/>
        <w:t>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r w:rsidR="00523817" w:rsidRPr="00DC2F20">
        <w:rPr>
          <w:rFonts w:ascii="Times New Roman" w:hAnsi="Times New Roman" w:cs="Times New Roman"/>
          <w:sz w:val="28"/>
          <w:szCs w:val="28"/>
        </w:rPr>
        <w:lastRenderedPageBreak/>
        <w:t>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DC2F20">
        <w:rPr>
          <w:rFonts w:ascii="Times New Roman" w:hAnsi="Times New Roman" w:cs="Times New Roman"/>
          <w:spacing w:val="7"/>
          <w:sz w:val="28"/>
          <w:szCs w:val="28"/>
        </w:rPr>
        <w:lastRenderedPageBreak/>
        <w:t>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DC2F20">
        <w:rPr>
          <w:rFonts w:ascii="Times New Roman" w:hAnsi="Times New Roman" w:cs="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rsidR="00207036" w:rsidRPr="00DC2F20">
        <w:rPr>
          <w:rFonts w:ascii="Times New Roman" w:hAnsi="Times New Roman" w:cs="Times New Roman"/>
          <w:sz w:val="28"/>
          <w:szCs w:val="28"/>
        </w:rPr>
        <w:lastRenderedPageBreak/>
        <w:t>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w:t>
      </w:r>
      <w:r w:rsidR="000A4FEF" w:rsidRPr="00DC2F20">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DC2F20">
        <w:rPr>
          <w:rFonts w:ascii="Times New Roman" w:hAnsi="Times New Roman" w:cs="Times New Roman"/>
          <w:sz w:val="28"/>
          <w:szCs w:val="28"/>
        </w:rPr>
        <w:lastRenderedPageBreak/>
        <w:t xml:space="preserve">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lastRenderedPageBreak/>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w:t>
      </w:r>
      <w:r w:rsidR="00EF20DB" w:rsidRPr="00DC2F20">
        <w:rPr>
          <w:rFonts w:ascii="Times New Roman" w:hAnsi="Times New Roman" w:cs="Times New Roman"/>
          <w:sz w:val="28"/>
          <w:szCs w:val="28"/>
        </w:rPr>
        <w:lastRenderedPageBreak/>
        <w:t>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9F0AF5">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C4584F">
        <w:rPr>
          <w:sz w:val="28"/>
          <w:szCs w:val="28"/>
        </w:rPr>
        <w:t>Новогольского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4584F">
        <w:rPr>
          <w:rFonts w:ascii="Times New Roman" w:hAnsi="Times New Roman" w:cs="Times New Roman"/>
          <w:sz w:val="28"/>
          <w:szCs w:val="28"/>
        </w:rPr>
        <w:t>Новогольского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w:t>
      </w:r>
      <w:r w:rsidRPr="00DC2F20">
        <w:rPr>
          <w:rFonts w:ascii="Times New Roman" w:hAnsi="Times New Roman" w:cs="Times New Roman"/>
          <w:sz w:val="28"/>
          <w:szCs w:val="28"/>
        </w:rPr>
        <w:lastRenderedPageBreak/>
        <w:t xml:space="preserve">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w:t>
      </w:r>
      <w:r w:rsidRPr="00DC2F20">
        <w:rPr>
          <w:rFonts w:ascii="Times New Roman" w:hAnsi="Times New Roman" w:cs="Times New Roman"/>
          <w:sz w:val="28"/>
          <w:szCs w:val="28"/>
        </w:rPr>
        <w:lastRenderedPageBreak/>
        <w:t>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167"/>
        <w:gridCol w:w="5619"/>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 xml:space="preserve">За предоставлением Муниципальной </w:t>
            </w:r>
            <w:r w:rsidRPr="00DC2F20">
              <w:rPr>
                <w:rFonts w:ascii="Times New Roman" w:hAnsi="Times New Roman" w:cs="Times New Roman"/>
                <w:sz w:val="28"/>
                <w:szCs w:val="28"/>
              </w:rPr>
              <w:lastRenderedPageBreak/>
              <w:t>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233"/>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w:t>
      </w:r>
      <w:r w:rsidRPr="00DC2F20">
        <w:rPr>
          <w:rFonts w:ascii="Times New Roman" w:hAnsi="Times New Roman" w:cs="Times New Roman"/>
          <w:sz w:val="28"/>
          <w:szCs w:val="28"/>
        </w:rPr>
        <w:lastRenderedPageBreak/>
        <w:t>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w:t>
      </w:r>
      <w:r w:rsidRPr="00DC2F20">
        <w:rPr>
          <w:rFonts w:ascii="Times New Roman" w:hAnsi="Times New Roman" w:cs="Times New Roman"/>
          <w:sz w:val="28"/>
          <w:szCs w:val="28"/>
        </w:rPr>
        <w:lastRenderedPageBreak/>
        <w:t>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45"/>
        <w:gridCol w:w="67"/>
        <w:gridCol w:w="66"/>
        <w:gridCol w:w="1318"/>
        <w:gridCol w:w="66"/>
        <w:gridCol w:w="93"/>
        <w:gridCol w:w="1217"/>
        <w:gridCol w:w="86"/>
        <w:gridCol w:w="151"/>
        <w:gridCol w:w="1282"/>
        <w:gridCol w:w="126"/>
        <w:gridCol w:w="1351"/>
        <w:gridCol w:w="143"/>
        <w:gridCol w:w="1319"/>
        <w:gridCol w:w="66"/>
        <w:gridCol w:w="1349"/>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w:t>
            </w:r>
            <w:r w:rsidRPr="00DC2F20">
              <w:rPr>
                <w:rFonts w:ascii="Times New Roman" w:hAnsi="Times New Roman" w:cs="Times New Roman"/>
                <w:sz w:val="28"/>
                <w:szCs w:val="28"/>
              </w:rPr>
              <w:lastRenderedPageBreak/>
              <w:t>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w:t>
            </w:r>
            <w:r w:rsidRPr="00DC2F20">
              <w:rPr>
                <w:rFonts w:ascii="Times New Roman" w:hAnsi="Times New Roman" w:cs="Times New Roman"/>
                <w:sz w:val="28"/>
                <w:szCs w:val="28"/>
              </w:rPr>
              <w:lastRenderedPageBreak/>
              <w:t xml:space="preserve">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Pr="00DC2F20">
              <w:rPr>
                <w:rFonts w:ascii="Times New Roman" w:hAnsi="Times New Roman" w:cs="Times New Roman"/>
                <w:sz w:val="28"/>
                <w:szCs w:val="28"/>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соглашением о взаимоде</w:t>
            </w:r>
            <w:r w:rsidRPr="00DC2F20">
              <w:rPr>
                <w:rFonts w:ascii="Times New Roman" w:hAnsi="Times New Roman" w:cs="Times New Roman"/>
                <w:sz w:val="28"/>
                <w:szCs w:val="28"/>
              </w:rPr>
              <w:lastRenderedPageBreak/>
              <w:t xml:space="preserve">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w:t>
            </w:r>
            <w:r w:rsidRPr="00DC2F20">
              <w:rPr>
                <w:rFonts w:ascii="Times New Roman" w:hAnsi="Times New Roman" w:cs="Times New Roman"/>
                <w:sz w:val="28"/>
                <w:szCs w:val="28"/>
              </w:rPr>
              <w:lastRenderedPageBreak/>
              <w:t xml:space="preserve">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w:t>
            </w:r>
            <w:r w:rsidRPr="00DC2F20">
              <w:rPr>
                <w:rFonts w:ascii="Times New Roman" w:hAnsi="Times New Roman" w:cs="Times New Roman"/>
                <w:sz w:val="28"/>
                <w:szCs w:val="28"/>
              </w:rPr>
              <w:lastRenderedPageBreak/>
              <w:t xml:space="preserve">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lastRenderedPageBreak/>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Формирование и регистрац</w:t>
            </w:r>
            <w:r w:rsidRPr="00DC2F20">
              <w:rPr>
                <w:rFonts w:ascii="Times New Roman" w:hAnsi="Times New Roman" w:cs="Times New Roman"/>
                <w:sz w:val="28"/>
                <w:szCs w:val="28"/>
              </w:rPr>
              <w:lastRenderedPageBreak/>
              <w:t xml:space="preserve">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w:t>
            </w:r>
            <w:r w:rsidRPr="00DC2F20">
              <w:rPr>
                <w:rFonts w:ascii="Times New Roman" w:hAnsi="Times New Roman" w:cs="Times New Roman"/>
                <w:sz w:val="28"/>
                <w:szCs w:val="28"/>
              </w:rPr>
              <w:lastRenderedPageBreak/>
              <w:t xml:space="preserve">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w:t>
            </w:r>
            <w:r w:rsidR="00CD14B0" w:rsidRPr="00DC2F20">
              <w:rPr>
                <w:rFonts w:ascii="Times New Roman" w:hAnsi="Times New Roman" w:cs="Times New Roman"/>
                <w:sz w:val="28"/>
                <w:szCs w:val="28"/>
              </w:rPr>
              <w:lastRenderedPageBreak/>
              <w:t>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w:t>
            </w:r>
            <w:r w:rsidRPr="00DC2F20">
              <w:rPr>
                <w:rFonts w:ascii="Times New Roman" w:hAnsi="Times New Roman" w:cs="Times New Roman"/>
                <w:sz w:val="28"/>
                <w:szCs w:val="28"/>
              </w:rPr>
              <w:lastRenderedPageBreak/>
              <w:t xml:space="preserve">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354BC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E0" w:rsidRDefault="007E71E0" w:rsidP="00BE6795">
      <w:pPr>
        <w:spacing w:after="0" w:line="240" w:lineRule="auto"/>
      </w:pPr>
      <w:r>
        <w:separator/>
      </w:r>
    </w:p>
  </w:endnote>
  <w:endnote w:type="continuationSeparator" w:id="0">
    <w:p w:rsidR="007E71E0" w:rsidRDefault="007E71E0"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E0" w:rsidRDefault="007E71E0" w:rsidP="00BE6795">
      <w:pPr>
        <w:spacing w:after="0" w:line="240" w:lineRule="auto"/>
      </w:pPr>
      <w:r>
        <w:separator/>
      </w:r>
    </w:p>
  </w:footnote>
  <w:footnote w:type="continuationSeparator" w:id="0">
    <w:p w:rsidR="007E71E0" w:rsidRDefault="007E71E0"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9"/>
      <w:jc w:val="center"/>
    </w:pPr>
  </w:p>
  <w:p w:rsidR="00C4584F" w:rsidRDefault="00C458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4F" w:rsidRDefault="00C458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183"/>
    <w:rsid w:val="00020D4E"/>
    <w:rsid w:val="0003674B"/>
    <w:rsid w:val="00037061"/>
    <w:rsid w:val="00071AE4"/>
    <w:rsid w:val="00081FF9"/>
    <w:rsid w:val="000A048D"/>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1717C"/>
    <w:rsid w:val="0034003A"/>
    <w:rsid w:val="00342FFE"/>
    <w:rsid w:val="003548F8"/>
    <w:rsid w:val="00354BCD"/>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3F91"/>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E71E0"/>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530AA"/>
    <w:rsid w:val="009631D4"/>
    <w:rsid w:val="00964DB3"/>
    <w:rsid w:val="00977F65"/>
    <w:rsid w:val="009B29AA"/>
    <w:rsid w:val="009B6B44"/>
    <w:rsid w:val="009C03AF"/>
    <w:rsid w:val="009E0AA8"/>
    <w:rsid w:val="009E5C58"/>
    <w:rsid w:val="009F0AF5"/>
    <w:rsid w:val="00A0179C"/>
    <w:rsid w:val="00A02E5B"/>
    <w:rsid w:val="00A06D63"/>
    <w:rsid w:val="00A06E59"/>
    <w:rsid w:val="00A26DF6"/>
    <w:rsid w:val="00A37108"/>
    <w:rsid w:val="00A44CF1"/>
    <w:rsid w:val="00A4587C"/>
    <w:rsid w:val="00A5033D"/>
    <w:rsid w:val="00A67234"/>
    <w:rsid w:val="00A718D5"/>
    <w:rsid w:val="00A83EF3"/>
    <w:rsid w:val="00A846A5"/>
    <w:rsid w:val="00A858B7"/>
    <w:rsid w:val="00AA348E"/>
    <w:rsid w:val="00AA49A7"/>
    <w:rsid w:val="00AC7183"/>
    <w:rsid w:val="00AD1140"/>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584F"/>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B5CE2"/>
    <w:rsid w:val="00EC161F"/>
    <w:rsid w:val="00EE2090"/>
    <w:rsid w:val="00EE3847"/>
    <w:rsid w:val="00EF20DB"/>
    <w:rsid w:val="00EF28D0"/>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3AE6-1054-465F-8062-7144C7CC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21677</Words>
  <Characters>123559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Newgol</cp:lastModifiedBy>
  <cp:revision>50</cp:revision>
  <cp:lastPrinted>2023-07-31T07:48:00Z</cp:lastPrinted>
  <dcterms:created xsi:type="dcterms:W3CDTF">2023-06-06T09:34:00Z</dcterms:created>
  <dcterms:modified xsi:type="dcterms:W3CDTF">2023-08-30T07:51:00Z</dcterms:modified>
</cp:coreProperties>
</file>